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 xml:space="preserve">Good </w:t>
                        </w:r>
                        <w:proofErr w:type="gramStart"/>
                        <w:r w:rsidRPr="00C01755">
                          <w:rPr>
                            <w:rFonts w:ascii="Noto Sans" w:hAnsi="Noto Sans" w:cs="Noto Sans"/>
                            <w:b/>
                            <w:bCs/>
                            <w:color w:val="FFFFFF"/>
                            <w:sz w:val="32"/>
                            <w:szCs w:val="32"/>
                          </w:rPr>
                          <w:t>Morning</w:t>
                        </w:r>
                        <w:proofErr w:type="gramEnd"/>
                        <w:r w:rsidRPr="00C01755">
                          <w:rPr>
                            <w:rFonts w:ascii="Noto Sans" w:hAnsi="Noto Sans" w:cs="Noto Sans"/>
                            <w:b/>
                            <w:bCs/>
                            <w:color w:val="FFFFFF"/>
                            <w:sz w:val="32"/>
                            <w:szCs w:val="32"/>
                          </w:rPr>
                          <w:t xml:space="preserve">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1C12B663" w14:textId="77777777" w:rsidR="00656A1A" w:rsidRDefault="00656A1A" w:rsidP="00656A1A">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656A1A">
                          <w:rPr>
                            <w:rFonts w:ascii="Noto Sans" w:eastAsia="Times New Roman" w:hAnsi="Noto Sans" w:cs="Noto Sans"/>
                            <w:b/>
                            <w:bCs/>
                            <w:color w:val="1F3864" w:themeColor="accent5" w:themeShade="80"/>
                          </w:rPr>
                          <w:t>VIC-VHM heavy lifting</w:t>
                        </w:r>
                      </w:p>
                      <w:p w14:paraId="0043656A" w14:textId="577E1C5B" w:rsidR="00656A1A" w:rsidRPr="00656A1A" w:rsidRDefault="00656A1A" w:rsidP="00656A1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656A1A">
                          <w:rPr>
                            <w:rFonts w:ascii="Noto Sans" w:hAnsi="Noto Sans" w:cs="Noto Sans"/>
                            <w:lang w:val="en-GB"/>
                          </w:rPr>
                          <w:t>The VN-Index recovered nearly 20 points to close up 19.77pts (+1.11% DoD) at 1,793.2pts, though it still could not break the key 1,800-point resistance. The index opened at 1,776pts (-0.3% DoD) and, with most of the day's gains concentrated in a narrow 9:40-10:00 window driven by Vingroup, oscillated for the rest of the session between an intraday high of 1,794pts (+0.3% DoD) and a low of 1,770pts (+0.2% DoD). VIC was the main driver, jumping 3.4% to VND215,500 and single-handedly contributing over 12 points, with GAS (+3.2%) and GVR (+2.7%) adding support; real estate led the sectors (+2.66%) on the back of VIC-VHM, while energy names such as PVD, BSR and PVT also performed well. Despite weak liquidity and a broadly mixed market, large-cap strength carried the benchmark higher. Liquidity eased, with trading volume and total value falling to 573mn shares (-10.5% DoD) and VND14,041bn (-12.3% DoD), respectively.</w:t>
                        </w:r>
                      </w:p>
                      <w:p w14:paraId="34963500" w14:textId="77777777" w:rsidR="00656A1A" w:rsidRPr="00656A1A" w:rsidRDefault="00656A1A" w:rsidP="00656A1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656A1A">
                          <w:rPr>
                            <w:rFonts w:ascii="Noto Sans" w:hAnsi="Noto Sans" w:cs="Noto Sans"/>
                            <w:lang w:val="en-GB"/>
                          </w:rPr>
                          <w:t>Within the VN30 basket, the session's strongest performers were led by VIC (+3.4% DoD), GAS (+3.2%), GVR (+2.7%), VHM (+2.4%), and BSR (+1.7%), while TCX (-0.7% DoD), FPT (-0.6%), SHB (-0.4%), VNM (-0.3%), and CTG (-0.3%) saw modest declines</w:t>
                        </w:r>
                      </w:p>
                      <w:p w14:paraId="5E56818F" w14:textId="00E23508" w:rsidR="001867DE" w:rsidRDefault="00656A1A" w:rsidP="00656A1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656A1A">
                          <w:rPr>
                            <w:rFonts w:ascii="Noto Sans" w:hAnsi="Noto Sans" w:cs="Noto Sans"/>
                            <w:lang w:val="en-GB"/>
                          </w:rPr>
                          <w:t>Foreign investors were net buyers with inflows of VND313bn, including VND1,652bn in buying (+31% DoD) and VND1,339bn in selling (-34% DoD). Accordingly:</w:t>
                        </w:r>
                        <w:r w:rsidR="00BF348E" w:rsidRPr="00BF348E">
                          <w:rPr>
                            <w:rFonts w:ascii="Noto Sans" w:hAnsi="Noto Sans" w:cs="Noto Sans"/>
                            <w:lang w:val="en-GB"/>
                          </w:rPr>
                        </w:r>
                        <w:r w:rsidR="001453A5" w:rsidRPr="001453A5">
                          <w:rPr>
                            <w:rFonts w:ascii="Noto Sans" w:hAnsi="Noto Sans" w:cs="Noto Sans"/>
                            <w:lang w:val="en-GB"/>
                          </w:rPr>
                        </w:r>
                        <w:r w:rsidR="001453A5">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071F6D0A" w14:textId="0958374C" w:rsidR="001453A5"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656A1A">
                          <w:rPr>
                            <w:rFonts w:ascii="Noto Sans" w:hAnsi="Noto Sans" w:cs="Noto Sans"/>
                          </w:rPr>
                          <w:t>VIC (VND189bn), VIX (VND152bn), SSI (VND141bn), GEX (VND75bn), HDB (VND68bn).</w:t>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1453A5" w:rsidRPr="001453A5">
                          <w:rPr>
                            <w:rFonts w:ascii="Noto Sans" w:hAnsi="Noto Sans" w:cs="Noto Sans"/>
                          </w:rPr>
                        </w:r>
                      </w:p>
                      <w:p w14:paraId="74B11E77" w14:textId="7B86C7F4" w:rsidR="001453A5"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BF348E" w:rsidRPr="00BF348E">
                          <w:rPr>
                            <w:rFonts w:ascii="Noto Sans" w:hAnsi="Noto Sans" w:cs="Noto Sans"/>
                          </w:rPr>
                          <w:t>VHM (VND67bn), ACB (VND60bn), TCB (VND52bn), SHB (VND40bn), FPT (VND37bn).</w:t>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656A1A">
                          <w:rPr>
                            <w:rFonts w:ascii="Noto Sans" w:hAnsi="Noto Sans" w:cs="Noto Sans"/>
                          </w:rPr>
                        </w:r>
                        <w:r w:rsidR="00BF348E" w:rsidRPr="00BF348E">
                          <w:rPr>
                            <w:rFonts w:ascii="Noto Sans" w:hAnsi="Noto Sans" w:cs="Noto Sans"/>
                          </w:rPr>
                        </w:r>
                        <w:r w:rsidR="001453A5" w:rsidRPr="001453A5">
                          <w:rPr>
                            <w:rFonts w:ascii="Noto Sans" w:hAnsi="Noto Sans" w:cs="Noto Sans"/>
                          </w:rPr>
                        </w:r>
                      </w:p>
                      <w:p w14:paraId="48CD43AB" w14:textId="61938D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59941896" w14:textId="1FE023B6" w:rsidR="00452767" w:rsidRDefault="00443D6B"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8C0AB2" w:rsidRPr="008C0AB2">
                                <w:rPr>
                                  <w:rFonts w:ascii="Noto Sans" w:hAnsi="Noto Sans" w:cs="Noto Sans"/>
                                  <w:b/>
                                  <w:bCs/>
                                </w:rPr>
                                <w:t>Around US$11bn proposed for capital region’s projected Ring Road 5</w:t>
                              </w:r>
                            </w:p>
                            <w:p w14:paraId="6527DED4" w14:textId="00B774E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8C0AB2" w:rsidRPr="008C0AB2">
                                <w:rPr>
                                  <w:rFonts w:ascii="Noto Sans" w:hAnsi="Noto Sans" w:cs="Noto Sans"/>
                                  <w:b/>
                                  <w:bCs/>
                                </w:rPr>
                                <w:t>Vietnam’s pharmaceutical market hits US$7bn mark</w:t>
                              </w:r>
                            </w:p>
                            <w:p w14:paraId="7716EC82" w14:textId="657958AA"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8C0AB2" w:rsidRPr="008C0AB2">
                                <w:rPr>
                                  <w:rFonts w:ascii="Noto Sans" w:hAnsi="Noto Sans" w:cs="Noto Sans"/>
                                  <w:b/>
                                  <w:bCs/>
                                </w:rPr>
                                <w:t>Vietnam’s cashless payment transactions rise 34.3% in first half</w:t>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6AABFF3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C637" w14:textId="77777777" w:rsidR="00D47CC7" w:rsidRDefault="00D47CC7" w:rsidP="007327C0">
      <w:r>
        <w:separator/>
      </w:r>
    </w:p>
  </w:endnote>
  <w:endnote w:type="continuationSeparator" w:id="0">
    <w:p w14:paraId="54B552F1" w14:textId="77777777" w:rsidR="00D47CC7" w:rsidRDefault="00D47CC7" w:rsidP="007327C0">
      <w:r>
        <w:continuationSeparator/>
      </w:r>
    </w:p>
  </w:endnote>
  <w:endnote w:type="continuationNotice" w:id="1">
    <w:p w14:paraId="5059D546" w14:textId="77777777" w:rsidR="00D47CC7" w:rsidRDefault="00D47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AB21" w14:textId="77777777" w:rsidR="00D47CC7" w:rsidRDefault="00D47CC7" w:rsidP="007327C0">
      <w:r>
        <w:separator/>
      </w:r>
    </w:p>
  </w:footnote>
  <w:footnote w:type="continuationSeparator" w:id="0">
    <w:p w14:paraId="4766BDEF" w14:textId="77777777" w:rsidR="00D47CC7" w:rsidRDefault="00D47CC7" w:rsidP="007327C0">
      <w:r>
        <w:continuationSeparator/>
      </w:r>
    </w:p>
  </w:footnote>
  <w:footnote w:type="continuationNotice" w:id="1">
    <w:p w14:paraId="20D63759" w14:textId="77777777" w:rsidR="00D47CC7" w:rsidRDefault="00D47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21B1"/>
    <w:rsid w:val="00452767"/>
    <w:rsid w:val="00453282"/>
    <w:rsid w:val="0045336C"/>
    <w:rsid w:val="00455BDE"/>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CC2"/>
    <w:rsid w:val="009C003E"/>
    <w:rsid w:val="009C0904"/>
    <w:rsid w:val="009C0A85"/>
    <w:rsid w:val="009C2204"/>
    <w:rsid w:val="009C33E1"/>
    <w:rsid w:val="009C449F"/>
    <w:rsid w:val="009C5522"/>
    <w:rsid w:val="009C6AE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6359786405-Daily_MAS_202608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10085</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12</cp:lastModifiedBy>
  <cp:revision>2272</cp:revision>
  <cp:lastPrinted>2024-01-30T11:51:00Z</cp:lastPrinted>
  <dcterms:created xsi:type="dcterms:W3CDTF">2018-01-29T01:41:00Z</dcterms:created>
  <dcterms:modified xsi:type="dcterms:W3CDTF">2026-08-11T09:18:00Z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