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0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3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796" w:type="dxa"/>
                    <w:tblCellSpacing w:w="0" w:type="dxa"/>
                    <w:tblInd w:w="135" w:type="dxa"/>
                    <w:tblCellMar>
                      <w:left w:w="0" w:type="dxa"/>
                      <w:right w:w="0" w:type="dxa"/>
                    </w:tblCellMar>
                    <w:tblLook w:val="04A0" w:firstRow="1" w:lastRow="0" w:firstColumn="1" w:lastColumn="0" w:noHBand="0" w:noVBand="1"/>
                  </w:tblPr>
                  <w:tblGrid>
                    <w:gridCol w:w="10796"/>
                  </w:tblGrid>
                  <w:tr w:rsidR="0068673E" w:rsidRPr="00037A23" w14:paraId="3F167398" w14:textId="77777777" w:rsidTr="00F15AA6">
                    <w:trPr>
                      <w:trHeight w:val="2160"/>
                      <w:tblCellSpacing w:w="0" w:type="dxa"/>
                    </w:trPr>
                    <w:tc>
                      <w:tcPr>
                        <w:tcW w:w="1079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7216"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 xml:space="preserve">Good </w:t>
                        </w:r>
                        <w:proofErr w:type="gramStart"/>
                        <w:r w:rsidRPr="00C01755">
                          <w:rPr>
                            <w:rFonts w:ascii="Noto Sans" w:hAnsi="Noto Sans" w:cs="Noto Sans"/>
                            <w:b/>
                            <w:bCs/>
                            <w:color w:val="FFFFFF"/>
                            <w:sz w:val="32"/>
                            <w:szCs w:val="32"/>
                          </w:rPr>
                          <w:t>Morning</w:t>
                        </w:r>
                        <w:proofErr w:type="gramEnd"/>
                        <w:r w:rsidRPr="00C01755">
                          <w:rPr>
                            <w:rFonts w:ascii="Noto Sans" w:hAnsi="Noto Sans" w:cs="Noto Sans"/>
                            <w:b/>
                            <w:bCs/>
                            <w:color w:val="FFFFFF"/>
                            <w:sz w:val="32"/>
                            <w:szCs w:val="32"/>
                          </w:rPr>
                          <w:t xml:space="preserve"> Vietnam</w:t>
                        </w:r>
                      </w:p>
                    </w:tc>
                  </w:tr>
                  <w:tr w:rsidR="0068673E" w:rsidRPr="00037A23" w14:paraId="264EBD13" w14:textId="77777777" w:rsidTr="00F15AA6">
                    <w:trPr>
                      <w:trHeight w:val="175"/>
                      <w:tblCellSpacing w:w="0" w:type="dxa"/>
                    </w:trPr>
                    <w:tc>
                      <w:tcPr>
                        <w:tcW w:w="1079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F15AA6">
                    <w:trPr>
                      <w:trHeight w:val="227"/>
                      <w:tblCellSpacing w:w="0" w:type="dxa"/>
                    </w:trPr>
                    <w:tc>
                      <w:tcPr>
                        <w:tcW w:w="1079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F15AA6">
                    <w:trPr>
                      <w:trHeight w:val="1276"/>
                      <w:tblCellSpacing w:w="0" w:type="dxa"/>
                    </w:trPr>
                    <w:tc>
                      <w:tcPr>
                        <w:tcW w:w="10796" w:type="dxa"/>
                        <w:vAlign w:val="center"/>
                        <w:hideMark/>
                      </w:tcPr>
                      <w:p w14:paraId="1F2A6BD2" w14:textId="77777777" w:rsidR="00A471AA" w:rsidRDefault="00A471AA" w:rsidP="0078042F">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A471AA">
                          <w:rPr>
                            <w:rFonts w:ascii="Noto Sans" w:eastAsia="Times New Roman" w:hAnsi="Noto Sans" w:cs="Noto Sans"/>
                            <w:b/>
                            <w:bCs/>
                            <w:color w:val="1F3864" w:themeColor="accent5" w:themeShade="80"/>
                          </w:rPr>
                          <w:t>Rebound on thin liquidity</w:t>
                        </w:r>
                      </w:p>
                      <w:p w14:paraId="29E9BB54" w14:textId="77777777" w:rsidR="00A471AA" w:rsidRPr="00A471AA" w:rsidRDefault="00A471AA" w:rsidP="00A471AA">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A471AA">
                          <w:rPr>
                            <w:rFonts w:ascii="Noto Sans" w:hAnsi="Noto Sans" w:cs="Noto Sans"/>
                            <w:lang w:val="en-GB"/>
                          </w:rPr>
                          <w:t>The VN-Index reversed a soft morning to close up 24.1pts at 1,704.7pts (+1.4% DoD) on Wednesday, reclaiming the 1,700 handle. After opening at 1,682.7pts (+1.8% DoD) and slipping to an intraday-low of 1,675.2pts (+1.5% DoD), a sustained afternoon bid lifted the index to an intraday-high of 1,705.3pts (+1.2% DoD). Leadership was narrow and large-cap led, with the Vingroup complex doing the heavy lifting (VRE limit-up) alongside MWG (+3.6% DoD), FPT (+3.3%) and HPG (+3.1%). Breadth was unconvincing for the size of the move, with 165 advancers against 139 decliners on HOSE. Liquidity remained the weak link, however, with HOSE matching just 560.5mn shares (-30.0% DoD) worth VND14,388bn (-25.0% DoD).</w:t>
                        </w:r>
                      </w:p>
                      <w:p w14:paraId="06C45638" w14:textId="77777777" w:rsidR="00A471AA" w:rsidRPr="00A471AA" w:rsidRDefault="00A471AA" w:rsidP="00A471AA">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A471AA">
                          <w:rPr>
                            <w:rFonts w:ascii="Noto Sans" w:hAnsi="Noto Sans" w:cs="Noto Sans"/>
                            <w:lang w:val="en-GB"/>
                          </w:rPr>
                          <w:t>Within the VN30 basket the top gainers were led by VHM (+6.1% DoD), MWG (+3.6%), FPT (+3.3%), HPG (+3.1%), and BSR (+2.2%), while LPB (-1.7% DoD), STB (-1.4%), SSB (-1.0%), VPB (-1.0%), ACB (-0.9%) were the biggest drag on the index</w:t>
                        </w:r>
                      </w:p>
                      <w:p w14:paraId="5E56818F" w14:textId="4152ED68" w:rsidR="001867DE" w:rsidRDefault="00A471AA" w:rsidP="00A471AA">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A471AA">
                          <w:rPr>
                            <w:rFonts w:ascii="Noto Sans" w:hAnsi="Noto Sans" w:cs="Noto Sans"/>
                            <w:lang w:val="en-GB"/>
                          </w:rPr>
                          <w:t>Foreign investors were net sellers with outflows of VND85bn, including VND1,943bn in buying (-34% DoD) and VND2,028bn in selling (-59% DoD). Accordingly:</w:t>
                        </w:r>
                        <w:r w:rsidR="0078042F" w:rsidRPr="0078042F">
                          <w:rPr>
                            <w:rFonts w:ascii="Noto Sans" w:hAnsi="Noto Sans" w:cs="Noto Sans"/>
                            <w:lang w:val="en-GB"/>
                          </w:rPr>
                        </w:r>
                        <w:r w:rsidR="00615D71" w:rsidRPr="00615D71">
                          <w:rPr>
                            <w:rFonts w:ascii="Noto Sans" w:hAnsi="Noto Sans" w:cs="Noto Sans"/>
                            <w:lang w:val="en-GB"/>
                          </w:rPr>
                        </w:r>
                        <w:r w:rsidR="00615D71">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490E5F43" w14:textId="001B752F" w:rsidR="00615D71"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471AA">
                          <w:rPr>
                            <w:rFonts w:ascii="Noto Sans" w:hAnsi="Noto Sans" w:cs="Noto Sans"/>
                          </w:rPr>
                          <w:t>HPG (VND140bn), VIC (VND121bn), CTG (VND73bn), FPT (VND70bn), MSN (VND52bn).</w:t>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615D71" w:rsidRPr="00615D71">
                          <w:rPr>
                            <w:rFonts w:ascii="Noto Sans" w:hAnsi="Noto Sans" w:cs="Noto Sans"/>
                          </w:rPr>
                        </w:r>
                      </w:p>
                      <w:p w14:paraId="5FCBCEF5" w14:textId="6020D556" w:rsidR="00615D71"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A471AA">
                          <w:rPr>
                            <w:rFonts w:ascii="Noto Sans" w:hAnsi="Noto Sans" w:cs="Noto Sans"/>
                          </w:rPr>
                          <w:t>VHM (VND227bn), VIX (VND77bn), HDB (VND67bn), TCB (VND49bn), ACB (VND46bn).</w:t>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A471AA">
                          <w:rPr>
                            <w:rFonts w:ascii="Noto Sans" w:hAnsi="Noto Sans" w:cs="Noto Sans"/>
                          </w:rPr>
                        </w:r>
                        <w:r w:rsidR="0078042F" w:rsidRPr="0078042F">
                          <w:rPr>
                            <w:rFonts w:ascii="Noto Sans" w:hAnsi="Noto Sans" w:cs="Noto Sans"/>
                          </w:rPr>
                        </w:r>
                        <w:r w:rsidR="00615D71" w:rsidRPr="00615D71">
                          <w:rPr>
                            <w:rFonts w:ascii="Noto Sans" w:hAnsi="Noto Sans" w:cs="Noto Sans"/>
                          </w:rPr>
                        </w:r>
                      </w:p>
                      <w:p w14:paraId="48CD43AB" w14:textId="48076C1F"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38058086" w14:textId="35C707D3" w:rsidR="00615D71" w:rsidRDefault="00443D6B"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64723F" w:rsidRPr="0064723F">
                                <w:rPr>
                                  <w:rFonts w:ascii="Noto Sans" w:hAnsi="Noto Sans" w:cs="Noto Sans"/>
                                  <w:b/>
                                  <w:bCs/>
                                </w:rPr>
                                <w:t>Global investment giants complete technical preparations to enter Vietnam’s stock market</w:t>
                              </w:r>
                            </w:p>
                            <w:p w14:paraId="3268CF16" w14:textId="396CCCE8" w:rsidR="00615D71"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64723F" w:rsidRPr="0064723F">
                                <w:rPr>
                                  <w:rFonts w:ascii="Noto Sans" w:hAnsi="Noto Sans" w:cs="Noto Sans"/>
                                  <w:b/>
                                  <w:bCs/>
                                </w:rPr>
                                <w:t>Approach required for double-digit growth</w:t>
                              </w:r>
                            </w:p>
                            <w:p w14:paraId="7716EC82" w14:textId="1A7FD8B8" w:rsidR="00D371CD" w:rsidRPr="00B64ADB" w:rsidRDefault="0082552B"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64723F" w:rsidRPr="0064723F">
                                <w:rPr>
                                  <w:rFonts w:ascii="Noto Sans" w:hAnsi="Noto Sans" w:cs="Noto Sans"/>
                                  <w:b/>
                                  <w:bCs/>
                                </w:rPr>
                                <w:t>Fruit and vegetable exports surpass US$1bln monthly milestone for the first time</w:t>
                              </w:r>
                              <w:proofErr w:type="gramStart"/>
                              <w:r w:rsidR="0064723F" w:rsidRPr="0064723F">
                                <w:rPr>
                                  <w:rFonts w:ascii="Noto Sans" w:hAnsi="Noto Sans" w:cs="Noto Sans"/>
                                  <w:b/>
                                  <w:bCs/>
                                </w:rPr>
                              </w:r>
                              <w:proofErr w:type="gramEnd"/>
                              <w:r w:rsidR="0064723F" w:rsidRPr="0064723F">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232CB83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w:t>
                                </w:r>
                                <w:r w:rsidRPr="00785DF2">
                                  <w:rPr>
                                    <w:rStyle w:val="Hyperlink"/>
                                    <w:rFonts w:ascii="Noto Sans" w:hAnsi="Noto Sans" w:cs="Noto Sans"/>
                                    <w:b/>
                                    <w:bCs/>
                                    <w:i/>
                                    <w:iCs/>
                                    <w:sz w:val="22"/>
                                    <w:szCs w:val="22"/>
                                  </w:rPr>
                                  <w:t xml:space="preserve"> </w:t>
                                </w:r>
                                <w:r w:rsidRPr="00785DF2">
                                  <w:rPr>
                                    <w:rStyle w:val="Hyperlink"/>
                                    <w:rFonts w:ascii="Noto Sans" w:hAnsi="Noto Sans" w:cs="Noto Sans"/>
                                    <w:b/>
                                    <w:bCs/>
                                    <w:i/>
                                    <w:iCs/>
                                    <w:sz w:val="22"/>
                                    <w:szCs w:val="22"/>
                                  </w:rPr>
                                  <w:t>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F15AA6">
                    <w:trPr>
                      <w:trHeight w:val="276"/>
                      <w:tblCellSpacing w:w="0" w:type="dxa"/>
                    </w:trPr>
                    <w:tc>
                      <w:tcPr>
                        <w:tcW w:w="1079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F15AA6">
                    <w:trPr>
                      <w:trHeight w:val="153"/>
                      <w:tblCellSpacing w:w="0" w:type="dxa"/>
                    </w:trPr>
                    <w:tc>
                      <w:tcPr>
                        <w:tcW w:w="1079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39DD" w14:textId="77777777" w:rsidR="006A54D1" w:rsidRDefault="006A54D1" w:rsidP="007327C0">
      <w:r>
        <w:separator/>
      </w:r>
    </w:p>
  </w:endnote>
  <w:endnote w:type="continuationSeparator" w:id="0">
    <w:p w14:paraId="7834D6A0" w14:textId="77777777" w:rsidR="006A54D1" w:rsidRDefault="006A54D1" w:rsidP="007327C0">
      <w:r>
        <w:continuationSeparator/>
      </w:r>
    </w:p>
  </w:endnote>
  <w:endnote w:type="continuationNotice" w:id="1">
    <w:p w14:paraId="01384A9D" w14:textId="77777777" w:rsidR="006A54D1" w:rsidRDefault="006A54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725D8" w14:textId="77777777" w:rsidR="006A54D1" w:rsidRDefault="006A54D1" w:rsidP="007327C0">
      <w:r>
        <w:separator/>
      </w:r>
    </w:p>
  </w:footnote>
  <w:footnote w:type="continuationSeparator" w:id="0">
    <w:p w14:paraId="1362613C" w14:textId="77777777" w:rsidR="006A54D1" w:rsidRDefault="006A54D1" w:rsidP="007327C0">
      <w:r>
        <w:continuationSeparator/>
      </w:r>
    </w:p>
  </w:footnote>
  <w:footnote w:type="continuationNotice" w:id="1">
    <w:p w14:paraId="637B80B4" w14:textId="77777777" w:rsidR="006A54D1" w:rsidRDefault="006A54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6363"/>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E49"/>
    <w:rsid w:val="002A75E7"/>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21B1"/>
    <w:rsid w:val="00453282"/>
    <w:rsid w:val="0045336C"/>
    <w:rsid w:val="00455BDE"/>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8F5"/>
    <w:rsid w:val="008B0F41"/>
    <w:rsid w:val="008B17F7"/>
    <w:rsid w:val="008B1CA7"/>
    <w:rsid w:val="008B2870"/>
    <w:rsid w:val="008B3DC3"/>
    <w:rsid w:val="008B4E97"/>
    <w:rsid w:val="008B4EDA"/>
    <w:rsid w:val="008B52AE"/>
    <w:rsid w:val="008B5359"/>
    <w:rsid w:val="008B60C9"/>
    <w:rsid w:val="008B76A6"/>
    <w:rsid w:val="008B7714"/>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CC2"/>
    <w:rsid w:val="009C003E"/>
    <w:rsid w:val="009C0904"/>
    <w:rsid w:val="009C0A85"/>
    <w:rsid w:val="009C2204"/>
    <w:rsid w:val="009C33E1"/>
    <w:rsid w:val="009C449F"/>
    <w:rsid w:val="009C5522"/>
    <w:rsid w:val="009C6AE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5230678799-Daily_MAS_2026072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10041</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Sang Ho</cp:lastModifiedBy>
  <cp:revision>2260</cp:revision>
  <cp:lastPrinted>2024-01-30T11:51:00Z</cp:lastPrinted>
  <dcterms:created xsi:type="dcterms:W3CDTF">2018-01-29T01:41:00Z</dcterms:created>
  <dcterms:modified xsi:type="dcterms:W3CDTF">2026-07-28T09:27:00Z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