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2"/>
        </w:rPr>
        <w:t>Out-competing AI-generated research — a VRE case study and a reusable playbook</w:t>
      </w:r>
    </w:p>
    <w:p>
      <w:pPr>
        <w:spacing w:after="120"/>
      </w:pPr>
      <w:r>
        <w:rPr>
          <w:b/>
        </w:rPr>
        <w:t>For: Mirae Asset Securities (Vietnam) Research · Re: how to beat the TCBS "TCX" AI initiation on VRE</w:t>
      </w:r>
    </w:p>
    <w:p>
      <w:pPr>
        <w:spacing w:after="120"/>
      </w:pPr>
      <w:r>
        <w:t xml:space="preserve">The honest framing you gave is the right one: *we could copy the TCX report and hit a KPI, but that erodes the only thing that makes sell-side research worth paying for.* An AI report is now a commodity floor — fast, broad, cheap, and "good enough" to look authoritative. The way to win is not to be a slower, more expensive version of the same thing. It is to do the four things the machine structurally cannot: </w:t>
      </w:r>
      <w:r>
        <w:rPr>
          <w:b/>
        </w:rPr>
        <w:t>commit to a call, model it, verify it with primary work, and be accountable for it.</w:t>
      </w:r>
      <w:r>
        <w:t xml:space="preserve"> This note (1) tears down the competitor report fairly, (2) sets out the durable human edges, (3) gives you a reusable report topology, (4) shows where you *should* use AI, and (5) audits the VRE report I just drafted.</w:t>
      </w:r>
    </w:p>
    <w:p>
      <w:pPr>
        <w:spacing w:before="40" w:after="40"/>
        <w:pBdr>
          <w:bottom w:val="single" w:sz="6" w:space="1" w:color="BBBBBB"/>
        </w:pBdr>
      </w:pPr>
    </w:p>
    <w:p>
      <w:pPr>
        <w:spacing w:before="160" w:after="60"/>
      </w:pPr>
      <w:r>
        <w:rPr>
          <w:b/>
          <w:color w:val="1F3A5F"/>
          <w:sz w:val="25"/>
        </w:rPr>
        <w:t>1. Teardown of the TCBS "TCX" report — fair strengths, fatal gaps</w:t>
      </w:r>
    </w:p>
    <w:p>
      <w:pPr>
        <w:spacing w:after="120"/>
      </w:pPr>
      <w:r>
        <w:rPr>
          <w:b/>
        </w:rPr>
        <w:t>What it does well (don't dismiss it):</w:t>
      </w:r>
    </w:p>
    <w:p>
      <w:pPr>
        <w:pStyle w:val="ListBullet"/>
      </w:pPr>
      <w:r>
        <w:t>Genuinely comprehensive industry/macro scaffolding (urbanisation, consuming class, modern-retail penetration) and a clean competitor map (Aeon, Lotte, Central Retail) with scale comparisons.</w:t>
      </w:r>
    </w:p>
    <w:p>
      <w:pPr>
        <w:pStyle w:val="ListBullet"/>
      </w:pPr>
      <w:r>
        <w:t xml:space="preserve">Intellectually honest in places: it separates </w:t>
      </w:r>
      <w:r>
        <w:rPr>
          <w:b/>
        </w:rPr>
        <w:t>core operating profit (~VND3,893bn) from reported PBT (~VND8,083bn)</w:t>
      </w:r>
      <w:r>
        <w:t>, flags the ~VND1,900bn one-off, the negative 2025 operating cash flow, the high DSO, and the like-for-like footfall caveat vs Aeon.</w:t>
      </w:r>
    </w:p>
    <w:p>
      <w:pPr>
        <w:pStyle w:val="ListBullet"/>
      </w:pPr>
      <w:r>
        <w:t>Beautifully formatted, scannable, big-number callouts. Produced fast and at near-zero marginal cost. As a *briefing document*, it is strong.</w:t>
      </w:r>
    </w:p>
    <w:p>
      <w:pPr>
        <w:spacing w:after="120"/>
      </w:pPr>
      <w:r>
        <w:rPr>
          <w:b/>
        </w:rPr>
        <w:t>Where it structurally fails an institutional client — and where you win: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r>
              <w:rPr>
                <w:b/>
                <w:color w:val="FFFFFF"/>
                <w:sz w:val="19"/>
              </w:rPr>
            </w:r>
            <w:r>
              <w:rPr>
                <w:b/>
                <w:color w:val="FFFFFF"/>
                <w:sz w:val="19"/>
              </w:rPr>
              <w:t>#</w:t>
            </w:r>
          </w:p>
        </w:tc>
        <w:tc>
          <w:tcPr>
            <w:tcW w:type="dxa" w:w="2412"/>
            <w:shd w:val="clear" w:fill="1F3A5F"/>
          </w:tcPr>
          <w:p>
            <w:r>
              <w:rPr>
                <w:b/>
                <w:color w:val="FFFFFF"/>
                <w:sz w:val="19"/>
              </w:rPr>
            </w:r>
            <w:r>
              <w:rPr>
                <w:b/>
                <w:color w:val="FFFFFF"/>
                <w:sz w:val="19"/>
              </w:rPr>
              <w:t>Gap in the AI report</w:t>
            </w:r>
          </w:p>
        </w:tc>
        <w:tc>
          <w:tcPr>
            <w:tcW w:type="dxa" w:w="2412"/>
            <w:shd w:val="clear" w:fill="1F3A5F"/>
          </w:tcPr>
          <w:p>
            <w:r>
              <w:rPr>
                <w:b/>
                <w:color w:val="FFFFFF"/>
                <w:sz w:val="19"/>
              </w:rPr>
            </w:r>
            <w:r>
              <w:rPr>
                <w:b/>
                <w:color w:val="FFFFFF"/>
                <w:sz w:val="19"/>
              </w:rPr>
              <w:t>Why it matters</w:t>
            </w:r>
          </w:p>
        </w:tc>
        <w:tc>
          <w:tcPr>
            <w:tcW w:type="dxa" w:w="2412"/>
            <w:shd w:val="clear" w:fill="1F3A5F"/>
          </w:tcPr>
          <w:p>
            <w:r>
              <w:rPr>
                <w:b/>
                <w:color w:val="FFFFFF"/>
                <w:sz w:val="19"/>
              </w:rPr>
            </w:r>
            <w:r>
              <w:rPr>
                <w:b/>
                <w:color w:val="FFFFFF"/>
                <w:sz w:val="19"/>
              </w:rPr>
              <w:t>Your move</w:t>
            </w:r>
          </w:p>
        </w:tc>
      </w:tr>
      <w:tr>
        <w:tc>
          <w:tcPr>
            <w:tcW w:type="dxa" w:w="2412"/>
          </w:tcPr>
          <w:p>
            <w:r>
              <w:rPr>
                <w:sz w:val="19"/>
              </w:rPr>
            </w:r>
            <w:r>
              <w:rPr>
                <w:sz w:val="19"/>
              </w:rPr>
              <w:t>1</w:t>
            </w:r>
          </w:p>
        </w:tc>
        <w:tc>
          <w:tcPr>
            <w:tcW w:type="dxa" w:w="2412"/>
          </w:tcPr>
          <w:p>
            <w:pPr>
              <w:jc w:val="right"/>
            </w:pPr>
            <w:r>
              <w:rPr>
                <w:sz w:val="19"/>
              </w:rPr>
            </w:r>
            <w:r>
              <w:rPr>
                <w:b/>
                <w:sz w:val="19"/>
              </w:rPr>
              <w:t>No target price, no rating.</w:t>
            </w:r>
            <w:r>
              <w:rPr>
                <w:sz w:val="19"/>
              </w:rPr>
              <w:t xml:space="preserve"> Explicitly "does not constitute a buy/sell recommendation."</w:t>
            </w:r>
          </w:p>
        </w:tc>
        <w:tc>
          <w:tcPr>
            <w:tcW w:type="dxa" w:w="2412"/>
          </w:tcPr>
          <w:p>
            <w:pPr>
              <w:jc w:val="right"/>
            </w:pPr>
            <w:r>
              <w:rPr>
                <w:sz w:val="19"/>
              </w:rPr>
            </w:r>
            <w:r>
              <w:rPr>
                <w:sz w:val="19"/>
              </w:rPr>
              <w:t>Research that won't commit is not investable. This is the single biggest opening.</w:t>
            </w:r>
          </w:p>
        </w:tc>
        <w:tc>
          <w:tcPr>
            <w:tcW w:type="dxa" w:w="2412"/>
          </w:tcPr>
          <w:p>
            <w:pPr>
              <w:jc w:val="right"/>
            </w:pPr>
            <w:r>
              <w:rPr>
                <w:sz w:val="19"/>
              </w:rPr>
            </w:r>
            <w:r>
              <w:rPr>
                <w:sz w:val="19"/>
              </w:rPr>
              <w:t>Publish a rated, dated TP with a defined methodology and an expected return.</w:t>
            </w:r>
          </w:p>
        </w:tc>
      </w:tr>
      <w:tr>
        <w:tc>
          <w:tcPr>
            <w:tcW w:type="dxa" w:w="2412"/>
          </w:tcPr>
          <w:p>
            <w:r>
              <w:rPr>
                <w:sz w:val="19"/>
              </w:rPr>
            </w:r>
            <w:r>
              <w:rPr>
                <w:sz w:val="19"/>
              </w:rPr>
              <w:t>2</w:t>
            </w:r>
          </w:p>
        </w:tc>
        <w:tc>
          <w:tcPr>
            <w:tcW w:type="dxa" w:w="2412"/>
          </w:tcPr>
          <w:p>
            <w:pPr>
              <w:jc w:val="right"/>
            </w:pPr>
            <w:r>
              <w:rPr>
                <w:sz w:val="19"/>
              </w:rPr>
            </w:r>
            <w:r>
              <w:rPr>
                <w:b/>
                <w:sz w:val="19"/>
              </w:rPr>
              <w:t>Valuation is descriptive, not generative</w:t>
            </w:r>
            <w:r>
              <w:rPr>
                <w:sz w:val="19"/>
              </w:rPr>
              <w:t xml:space="preserve"> — historical P/B band + a peer P/E table only. No DCF, no NAV/SOTP, no sensitivity.</w:t>
            </w:r>
          </w:p>
        </w:tc>
        <w:tc>
          <w:tcPr>
            <w:tcW w:type="dxa" w:w="2412"/>
          </w:tcPr>
          <w:p>
            <w:pPr>
              <w:jc w:val="right"/>
            </w:pPr>
            <w:r>
              <w:rPr>
                <w:sz w:val="19"/>
              </w:rPr>
            </w:r>
            <w:r>
              <w:rPr>
                <w:sz w:val="19"/>
              </w:rPr>
              <w:t>It can describe what VRE *has* traded at; it cannot say what it is *worth* or why.</w:t>
            </w:r>
          </w:p>
        </w:tc>
        <w:tc>
          <w:tcPr>
            <w:tcW w:type="dxa" w:w="2412"/>
          </w:tcPr>
          <w:p>
            <w:pPr>
              <w:jc w:val="right"/>
            </w:pPr>
            <w:r>
              <w:rPr>
                <w:sz w:val="19"/>
              </w:rPr>
            </w:r>
            <w:r>
              <w:rPr>
                <w:sz w:val="19"/>
              </w:rPr>
              <w:t>Run an FCFF DCF + a per-mall/segment NAV, with a WACC × g sensitivity grid.</w:t>
            </w:r>
          </w:p>
        </w:tc>
      </w:tr>
      <w:tr>
        <w:tc>
          <w:tcPr>
            <w:tcW w:type="dxa" w:w="2412"/>
          </w:tcPr>
          <w:p>
            <w:r>
              <w:rPr>
                <w:sz w:val="19"/>
              </w:rPr>
            </w:r>
            <w:r>
              <w:rPr>
                <w:sz w:val="19"/>
              </w:rPr>
              <w:t>3</w:t>
            </w:r>
          </w:p>
        </w:tc>
        <w:tc>
          <w:tcPr>
            <w:tcW w:type="dxa" w:w="2412"/>
          </w:tcPr>
          <w:p>
            <w:pPr>
              <w:jc w:val="right"/>
            </w:pPr>
            <w:r>
              <w:rPr>
                <w:sz w:val="19"/>
              </w:rPr>
            </w:r>
            <w:r>
              <w:rPr>
                <w:b/>
                <w:sz w:val="19"/>
              </w:rPr>
              <w:t>"Hidden value / NAV" asserted but never quantified.</w:t>
            </w:r>
          </w:p>
        </w:tc>
        <w:tc>
          <w:tcPr>
            <w:tcW w:type="dxa" w:w="2412"/>
          </w:tcPr>
          <w:p>
            <w:pPr>
              <w:jc w:val="right"/>
            </w:pPr>
            <w:r>
              <w:rPr>
                <w:sz w:val="19"/>
              </w:rPr>
            </w:r>
            <w:r>
              <w:rPr>
                <w:sz w:val="19"/>
              </w:rPr>
              <w:t>The whole bull case (assets carried below market) is left as a hand-wave.</w:t>
            </w:r>
          </w:p>
        </w:tc>
        <w:tc>
          <w:tcPr>
            <w:tcW w:type="dxa" w:w="2412"/>
          </w:tcPr>
          <w:p>
            <w:pPr>
              <w:jc w:val="right"/>
            </w:pPr>
            <w:r>
              <w:rPr>
                <w:sz w:val="19"/>
              </w:rPr>
            </w:r>
            <w:r>
              <w:rPr>
                <w:sz w:val="19"/>
              </w:rPr>
              <w:t>Quantify NAV: capitalise leasing NOI by format, mark malls to ~market cap rates, add the REIT/recycling option. The NCT sale gives you a real data point.</w:t>
            </w:r>
          </w:p>
        </w:tc>
      </w:tr>
      <w:tr>
        <w:tc>
          <w:tcPr>
            <w:tcW w:type="dxa" w:w="2412"/>
          </w:tcPr>
          <w:p>
            <w:r>
              <w:rPr>
                <w:sz w:val="19"/>
              </w:rPr>
            </w:r>
            <w:r>
              <w:rPr>
                <w:sz w:val="19"/>
              </w:rPr>
              <w:t>4</w:t>
            </w:r>
          </w:p>
        </w:tc>
        <w:tc>
          <w:tcPr>
            <w:tcW w:type="dxa" w:w="2412"/>
          </w:tcPr>
          <w:p>
            <w:pPr>
              <w:jc w:val="right"/>
            </w:pPr>
            <w:r>
              <w:rPr>
                <w:sz w:val="19"/>
              </w:rPr>
            </w:r>
            <w:r>
              <w:rPr>
                <w:b/>
                <w:sz w:val="19"/>
              </w:rPr>
              <w:t>Related-party financial income treated as benign.</w:t>
            </w:r>
          </w:p>
        </w:tc>
        <w:tc>
          <w:tcPr>
            <w:tcW w:type="dxa" w:w="2412"/>
          </w:tcPr>
          <w:p>
            <w:pPr>
              <w:jc w:val="right"/>
            </w:pPr>
            <w:r>
              <w:rPr>
                <w:sz w:val="19"/>
              </w:rPr>
            </w:r>
            <w:r>
              <w:rPr>
                <w:sz w:val="19"/>
              </w:rPr>
              <w:t>~VND2.5tn of recurring "profit" is interest on ~VND29.5tn of deposits/intercompany lending to the Vingroup ecosystem — that is the earnings-quality crux, and it's barely touched.</w:t>
            </w:r>
          </w:p>
        </w:tc>
        <w:tc>
          <w:tcPr>
            <w:tcW w:type="dxa" w:w="2412"/>
          </w:tcPr>
          <w:p>
            <w:pPr>
              <w:jc w:val="right"/>
            </w:pPr>
            <w:r>
              <w:rPr>
                <w:sz w:val="19"/>
              </w:rPr>
            </w:r>
            <w:r>
              <w:rPr>
                <w:sz w:val="19"/>
              </w:rPr>
              <w:t>Build the three-stream earnings bridge (leasing vs financial vs one-off) and demand disclosure of counterparties/rates/tenors.</w:t>
            </w:r>
          </w:p>
        </w:tc>
      </w:tr>
      <w:tr>
        <w:tc>
          <w:tcPr>
            <w:tcW w:type="dxa" w:w="2412"/>
          </w:tcPr>
          <w:p>
            <w:r>
              <w:rPr>
                <w:sz w:val="19"/>
              </w:rPr>
            </w:r>
            <w:r>
              <w:rPr>
                <w:sz w:val="19"/>
              </w:rPr>
              <w:t>5</w:t>
            </w:r>
          </w:p>
        </w:tc>
        <w:tc>
          <w:tcPr>
            <w:tcW w:type="dxa" w:w="2412"/>
          </w:tcPr>
          <w:p>
            <w:pPr>
              <w:jc w:val="right"/>
            </w:pPr>
            <w:r>
              <w:rPr>
                <w:sz w:val="19"/>
              </w:rPr>
            </w:r>
            <w:r>
              <w:rPr>
                <w:b/>
                <w:sz w:val="19"/>
              </w:rPr>
              <w:t>Black-box numbers ("TCA"), round-number scenarios, no estimate-vs-consensus.</w:t>
            </w:r>
          </w:p>
        </w:tc>
        <w:tc>
          <w:tcPr>
            <w:tcW w:type="dxa" w:w="2412"/>
          </w:tcPr>
          <w:p>
            <w:pPr>
              <w:jc w:val="right"/>
            </w:pPr>
            <w:r>
              <w:rPr>
                <w:sz w:val="19"/>
              </w:rPr>
            </w:r>
            <w:r>
              <w:rPr>
                <w:sz w:val="19"/>
              </w:rPr>
              <w:t>A client can't see the engine, can't stress it, can't tell if you're above or below the Street.</w:t>
            </w:r>
          </w:p>
        </w:tc>
        <w:tc>
          <w:tcPr>
            <w:tcW w:type="dxa" w:w="2412"/>
          </w:tcPr>
          <w:p>
            <w:pPr>
              <w:jc w:val="right"/>
            </w:pPr>
            <w:r>
              <w:rPr>
                <w:sz w:val="19"/>
              </w:rPr>
            </w:r>
            <w:r>
              <w:rPr>
                <w:sz w:val="19"/>
              </w:rPr>
              <w:t>Show your model, footnote assumptions, and always print *your number vs consensus*.</w:t>
            </w:r>
          </w:p>
        </w:tc>
      </w:tr>
      <w:tr>
        <w:tc>
          <w:tcPr>
            <w:tcW w:type="dxa" w:w="2412"/>
          </w:tcPr>
          <w:p>
            <w:r>
              <w:rPr>
                <w:sz w:val="19"/>
              </w:rPr>
            </w:r>
            <w:r>
              <w:rPr>
                <w:sz w:val="19"/>
              </w:rPr>
              <w:t>6</w:t>
            </w:r>
          </w:p>
        </w:tc>
        <w:tc>
          <w:tcPr>
            <w:tcW w:type="dxa" w:w="2412"/>
          </w:tcPr>
          <w:p>
            <w:pPr>
              <w:jc w:val="right"/>
            </w:pPr>
            <w:r>
              <w:rPr>
                <w:sz w:val="19"/>
              </w:rPr>
            </w:r>
            <w:r>
              <w:rPr>
                <w:b/>
                <w:sz w:val="19"/>
              </w:rPr>
              <w:t>Stale price, internal inconsistencies</w:t>
            </w:r>
            <w:r>
              <w:rPr>
                <w:sz w:val="19"/>
              </w:rPr>
              <w:t xml:space="preserve"> (GFA quoted as both 1.91m and 1.84m m²; peer P/B table has "n/a" holes).</w:t>
            </w:r>
          </w:p>
        </w:tc>
        <w:tc>
          <w:tcPr>
            <w:tcW w:type="dxa" w:w="2412"/>
          </w:tcPr>
          <w:p>
            <w:pPr>
              <w:jc w:val="right"/>
            </w:pPr>
            <w:r>
              <w:rPr>
                <w:sz w:val="19"/>
              </w:rPr>
            </w:r>
            <w:r>
              <w:rPr>
                <w:sz w:val="19"/>
              </w:rPr>
              <w:t>Small errors corrode trust in the whole document.</w:t>
            </w:r>
          </w:p>
        </w:tc>
        <w:tc>
          <w:tcPr>
            <w:tcW w:type="dxa" w:w="2412"/>
          </w:tcPr>
          <w:p>
            <w:pPr>
              <w:jc w:val="right"/>
            </w:pPr>
            <w:r>
              <w:rPr>
                <w:sz w:val="19"/>
              </w:rPr>
            </w:r>
            <w:r>
              <w:rPr>
                <w:sz w:val="19"/>
              </w:rPr>
              <w:t>Single source of truth, dated price, no gaps.</w:t>
            </w:r>
          </w:p>
        </w:tc>
      </w:tr>
      <w:tr>
        <w:tc>
          <w:tcPr>
            <w:tcW w:type="dxa" w:w="2412"/>
          </w:tcPr>
          <w:p>
            <w:r>
              <w:rPr>
                <w:sz w:val="19"/>
              </w:rPr>
            </w:r>
            <w:r>
              <w:rPr>
                <w:sz w:val="19"/>
              </w:rPr>
              <w:t>7</w:t>
            </w:r>
          </w:p>
        </w:tc>
        <w:tc>
          <w:tcPr>
            <w:tcW w:type="dxa" w:w="2412"/>
          </w:tcPr>
          <w:p>
            <w:pPr>
              <w:jc w:val="right"/>
            </w:pPr>
            <w:r>
              <w:rPr>
                <w:sz w:val="19"/>
              </w:rPr>
            </w:r>
            <w:r>
              <w:rPr>
                <w:b/>
                <w:sz w:val="19"/>
              </w:rPr>
              <w:t>No dated catalyst path.</w:t>
            </w:r>
            <w:r>
              <w:rPr>
                <w:sz w:val="19"/>
              </w:rPr>
              <w:t xml:space="preserve"> Risks listed generically, not ranked or falsifiable.</w:t>
            </w:r>
          </w:p>
        </w:tc>
        <w:tc>
          <w:tcPr>
            <w:tcW w:type="dxa" w:w="2412"/>
          </w:tcPr>
          <w:p>
            <w:pPr>
              <w:jc w:val="right"/>
            </w:pPr>
            <w:r>
              <w:rPr>
                <w:sz w:val="19"/>
              </w:rPr>
            </w:r>
            <w:r>
              <w:rPr>
                <w:sz w:val="19"/>
              </w:rPr>
              <w:t>Clients trade catalysts and need to know what would prove you wrong.</w:t>
            </w:r>
          </w:p>
        </w:tc>
        <w:tc>
          <w:tcPr>
            <w:tcW w:type="dxa" w:w="2412"/>
          </w:tcPr>
          <w:p>
            <w:pPr>
              <w:jc w:val="right"/>
            </w:pPr>
            <w:r>
              <w:rPr>
                <w:sz w:val="19"/>
              </w:rPr>
            </w:r>
            <w:r>
              <w:rPr>
                <w:sz w:val="19"/>
              </w:rPr>
              <w:t>Dated catalyst calendar + an explicit "what would change our mind."</w:t>
            </w:r>
          </w:p>
        </w:tc>
      </w:tr>
      <w:tr>
        <w:tc>
          <w:tcPr>
            <w:tcW w:type="dxa" w:w="2412"/>
          </w:tcPr>
          <w:p>
            <w:r>
              <w:rPr>
                <w:sz w:val="19"/>
              </w:rPr>
            </w:r>
            <w:r>
              <w:rPr>
                <w:sz w:val="19"/>
              </w:rPr>
              <w:t>8</w:t>
            </w:r>
          </w:p>
        </w:tc>
        <w:tc>
          <w:tcPr>
            <w:tcW w:type="dxa" w:w="2412"/>
          </w:tcPr>
          <w:p>
            <w:pPr>
              <w:jc w:val="right"/>
            </w:pPr>
            <w:r>
              <w:rPr>
                <w:sz w:val="19"/>
              </w:rPr>
            </w:r>
            <w:r>
              <w:rPr>
                <w:b/>
                <w:sz w:val="19"/>
              </w:rPr>
              <w:t>No accountability or track record.</w:t>
            </w:r>
            <w:r>
              <w:rPr>
                <w:sz w:val="19"/>
              </w:rPr>
              <w:t xml:space="preserve"> No analyst owns the call; nothing to hold to.</w:t>
            </w:r>
          </w:p>
        </w:tc>
        <w:tc>
          <w:tcPr>
            <w:tcW w:type="dxa" w:w="2412"/>
          </w:tcPr>
          <w:p>
            <w:pPr>
              <w:jc w:val="right"/>
            </w:pPr>
            <w:r>
              <w:rPr>
                <w:sz w:val="19"/>
              </w:rPr>
            </w:r>
            <w:r>
              <w:rPr>
                <w:sz w:val="19"/>
              </w:rPr>
              <w:t>Reputation and a rating history are what institutions actually pay for.</w:t>
            </w:r>
          </w:p>
        </w:tc>
        <w:tc>
          <w:tcPr>
            <w:tcW w:type="dxa" w:w="2412"/>
          </w:tcPr>
          <w:p>
            <w:pPr>
              <w:jc w:val="right"/>
            </w:pPr>
            <w:r>
              <w:rPr>
                <w:sz w:val="19"/>
              </w:rPr>
            </w:r>
            <w:r>
              <w:rPr>
                <w:sz w:val="19"/>
              </w:rPr>
              <w:t>Your name, your rating history, your hit rate.</w:t>
            </w:r>
          </w:p>
        </w:tc>
      </w:tr>
    </w:tbl>
    <w:p>
      <w:pPr>
        <w:spacing w:after="40"/>
      </w:pPr>
    </w:p>
    <w:p>
      <w:pPr>
        <w:spacing w:after="120"/>
      </w:pPr>
      <w:r>
        <w:rPr>
          <w:b/>
        </w:rPr>
        <w:t>The one-line thesis:</w:t>
      </w:r>
      <w:r>
        <w:t xml:space="preserve"> the AI report is a *map*; the client is paying for a *guide*. It tells you the terrain; it won't tell you where to go, walk you there, or answer for it if the path is wrong.</w:t>
      </w:r>
    </w:p>
    <w:p>
      <w:pPr>
        <w:spacing w:before="160" w:after="60"/>
      </w:pPr>
      <w:r>
        <w:rPr>
          <w:b/>
          <w:color w:val="1F3A5F"/>
          <w:sz w:val="25"/>
        </w:rPr>
        <w:t>2. The durable human edges (build the report around these, not around prose volume)</w:t>
      </w:r>
    </w:p>
    <w:p>
      <w:pPr>
        <w:pStyle w:val="ListNumber"/>
      </w:pPr>
      <w:r>
        <w:rPr>
          <w:b/>
        </w:rPr>
        <w:t>Accountability &amp; a rated track record.</w:t>
      </w:r>
      <w:r>
        <w:t xml:space="preserve"> A falsifiable TP and rating you can be measured on. AI vendors disclaim exactly this.</w:t>
      </w:r>
    </w:p>
    <w:p>
      <w:pPr>
        <w:pStyle w:val="ListNumber"/>
      </w:pPr>
      <w:r>
        <w:rPr>
          <w:b/>
        </w:rPr>
        <w:t>Primary research.</w:t>
      </w:r>
      <w:r>
        <w:t xml:space="preserve"> Mall visits and footfall counts, tenant and broker channel checks, management access, supply-side scuttlebutt (Aeon/Lotte opening pace, asking rents). This is *non-public* signal; the model can only recombine the public.</w:t>
      </w:r>
    </w:p>
    <w:p>
      <w:pPr>
        <w:pStyle w:val="ListNumber"/>
      </w:pPr>
      <w:r>
        <w:rPr>
          <w:b/>
        </w:rPr>
        <w:t>Proprietary modelling.</w:t>
      </w:r>
      <w:r>
        <w:t xml:space="preserve"> A living 3-statement model with scenario/sensitivity and a clear </w:t>
      </w:r>
      <w:r>
        <w:rPr>
          <w:b/>
        </w:rPr>
        <w:t>variant perception vs consensus.</w:t>
      </w:r>
      <w:r>
        <w:t xml:space="preserve"> The edge is the delta, not the description.</w:t>
      </w:r>
    </w:p>
    <w:p>
      <w:pPr>
        <w:pStyle w:val="ListNumber"/>
      </w:pPr>
      <w:r>
        <w:rPr>
          <w:b/>
        </w:rPr>
        <w:t>Earnings-quality forensics.</w:t>
      </w:r>
      <w:r>
        <w:t xml:space="preserve"> Accruals, one-offs, cash conversion, and — for VRE specifically — the related-party deposit engine. Judgment about *which reported number is misleading.*</w:t>
      </w:r>
    </w:p>
    <w:p>
      <w:pPr>
        <w:pStyle w:val="ListNumber"/>
      </w:pPr>
      <w:r>
        <w:rPr>
          <w:b/>
        </w:rPr>
        <w:t>Judgment under ambiguity.</w:t>
      </w:r>
      <w:r>
        <w:t xml:space="preserve"> Knowing that 2025's 21% footfall growth is mostly new-store, that the cheap 9.8x P/E is an artefact of a one-off, that shophouse timing will slip again.</w:t>
      </w:r>
    </w:p>
    <w:p>
      <w:pPr>
        <w:pStyle w:val="ListNumber"/>
      </w:pPr>
      <w:r>
        <w:rPr>
          <w:b/>
        </w:rPr>
        <w:t>Client-specific actionability.</w:t>
      </w:r>
      <w:r>
        <w:t xml:space="preserve"> Entry levels, position sizing, catalyst timing, "what to do Monday." Tailored to a fund's mandate.</w:t>
      </w:r>
    </w:p>
    <w:p>
      <w:pPr>
        <w:pStyle w:val="ListNumber"/>
      </w:pPr>
      <w:r>
        <w:rPr>
          <w:b/>
        </w:rPr>
        <w:t>Relationships &amp; distribution.</w:t>
      </w:r>
      <w:r>
        <w:t xml:space="preserve"> Corporate access days, a sales force that carries the call, regulatory standing. Structurally unavailable to a text generator.</w:t>
      </w:r>
    </w:p>
    <w:p>
      <w:pPr>
        <w:spacing w:before="160" w:after="60"/>
      </w:pPr>
      <w:r>
        <w:rPr>
          <w:b/>
          <w:color w:val="1F3A5F"/>
          <w:sz w:val="25"/>
        </w:rPr>
        <w:t>3. A reusable report topology (dissect and standardise this)</w:t>
      </w:r>
    </w:p>
    <w:p>
      <w:pPr>
        <w:spacing w:after="120"/>
      </w:pPr>
      <w:r>
        <w:t xml:space="preserve">A condensed institutional note — deliberately *shorter* than the 23-page TCX report, because density and a clear call beat length. Target 2–3 pages. Each section names </w:t>
      </w:r>
      <w:r>
        <w:rPr>
          <w:b/>
        </w:rPr>
        <w:t>the edge it adds over an AI report.</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r>
              <w:rPr>
                <w:b/>
                <w:color w:val="FFFFFF"/>
                <w:sz w:val="19"/>
              </w:rPr>
            </w:r>
            <w:r>
              <w:rPr>
                <w:b/>
                <w:color w:val="FFFFFF"/>
                <w:sz w:val="19"/>
              </w:rPr>
              <w:t>§</w:t>
            </w:r>
          </w:p>
        </w:tc>
        <w:tc>
          <w:tcPr>
            <w:tcW w:type="dxa" w:w="2412"/>
            <w:shd w:val="clear" w:fill="1F3A5F"/>
          </w:tcPr>
          <w:p>
            <w:r>
              <w:rPr>
                <w:b/>
                <w:color w:val="FFFFFF"/>
                <w:sz w:val="19"/>
              </w:rPr>
            </w:r>
            <w:r>
              <w:rPr>
                <w:b/>
                <w:color w:val="FFFFFF"/>
                <w:sz w:val="19"/>
              </w:rPr>
              <w:t>Section</w:t>
            </w:r>
          </w:p>
        </w:tc>
        <w:tc>
          <w:tcPr>
            <w:tcW w:type="dxa" w:w="2412"/>
            <w:shd w:val="clear" w:fill="1F3A5F"/>
          </w:tcPr>
          <w:p>
            <w:r>
              <w:rPr>
                <w:b/>
                <w:color w:val="FFFFFF"/>
                <w:sz w:val="19"/>
              </w:rPr>
            </w:r>
            <w:r>
              <w:rPr>
                <w:b/>
                <w:color w:val="FFFFFF"/>
                <w:sz w:val="19"/>
              </w:rPr>
              <w:t>Must contain</w:t>
            </w:r>
          </w:p>
        </w:tc>
        <w:tc>
          <w:tcPr>
            <w:tcW w:type="dxa" w:w="2412"/>
            <w:shd w:val="clear" w:fill="1F3A5F"/>
          </w:tcPr>
          <w:p>
            <w:r>
              <w:rPr>
                <w:b/>
                <w:color w:val="FFFFFF"/>
                <w:sz w:val="19"/>
              </w:rPr>
            </w:r>
            <w:r>
              <w:rPr>
                <w:b/>
                <w:color w:val="FFFFFF"/>
                <w:sz w:val="19"/>
              </w:rPr>
              <w:t>Edge over AI</w:t>
            </w:r>
          </w:p>
        </w:tc>
      </w:tr>
      <w:tr>
        <w:tc>
          <w:tcPr>
            <w:tcW w:type="dxa" w:w="2412"/>
          </w:tcPr>
          <w:p>
            <w:r>
              <w:rPr>
                <w:sz w:val="19"/>
              </w:rPr>
            </w:r>
            <w:r>
              <w:rPr>
                <w:sz w:val="19"/>
              </w:rPr>
              <w:t>0</w:t>
            </w:r>
          </w:p>
        </w:tc>
        <w:tc>
          <w:tcPr>
            <w:tcW w:type="dxa" w:w="2412"/>
          </w:tcPr>
          <w:p>
            <w:pPr>
              <w:jc w:val="right"/>
            </w:pPr>
            <w:r>
              <w:rPr>
                <w:sz w:val="19"/>
              </w:rPr>
            </w:r>
            <w:r>
              <w:rPr>
                <w:b/>
                <w:sz w:val="19"/>
              </w:rPr>
              <w:t>Header block</w:t>
            </w:r>
          </w:p>
        </w:tc>
        <w:tc>
          <w:tcPr>
            <w:tcW w:type="dxa" w:w="2412"/>
          </w:tcPr>
          <w:p>
            <w:pPr>
              <w:jc w:val="right"/>
            </w:pPr>
            <w:r>
              <w:rPr>
                <w:sz w:val="19"/>
              </w:rPr>
            </w:r>
            <w:r>
              <w:rPr>
                <w:sz w:val="19"/>
              </w:rPr>
              <w:t>Rating, 12M TP, expected return, method, key multiples, *your EPS/PBT vs consensus*, price/float/beta</w:t>
            </w:r>
          </w:p>
        </w:tc>
        <w:tc>
          <w:tcPr>
            <w:tcW w:type="dxa" w:w="2412"/>
          </w:tcPr>
          <w:p>
            <w:pPr>
              <w:jc w:val="right"/>
            </w:pPr>
            <w:r>
              <w:rPr>
                <w:sz w:val="19"/>
              </w:rPr>
            </w:r>
            <w:r>
              <w:rPr>
                <w:sz w:val="19"/>
              </w:rPr>
              <w:t>Commitment + benchmarking the machine omits</w:t>
            </w:r>
          </w:p>
        </w:tc>
      </w:tr>
      <w:tr>
        <w:tc>
          <w:tcPr>
            <w:tcW w:type="dxa" w:w="2412"/>
          </w:tcPr>
          <w:p>
            <w:r>
              <w:rPr>
                <w:sz w:val="19"/>
              </w:rPr>
            </w:r>
            <w:r>
              <w:rPr>
                <w:sz w:val="19"/>
              </w:rPr>
              <w:t>1</w:t>
            </w:r>
          </w:p>
        </w:tc>
        <w:tc>
          <w:tcPr>
            <w:tcW w:type="dxa" w:w="2412"/>
          </w:tcPr>
          <w:p>
            <w:pPr>
              <w:jc w:val="right"/>
            </w:pPr>
            <w:r>
              <w:rPr>
                <w:sz w:val="19"/>
              </w:rPr>
            </w:r>
            <w:r>
              <w:rPr>
                <w:b/>
                <w:sz w:val="19"/>
              </w:rPr>
              <w:t>Thesis (1 para)</w:t>
            </w:r>
          </w:p>
        </w:tc>
        <w:tc>
          <w:tcPr>
            <w:tcW w:type="dxa" w:w="2412"/>
          </w:tcPr>
          <w:p>
            <w:pPr>
              <w:jc w:val="right"/>
            </w:pPr>
            <w:r>
              <w:rPr>
                <w:sz w:val="19"/>
              </w:rPr>
            </w:r>
            <w:r>
              <w:rPr>
                <w:sz w:val="19"/>
              </w:rPr>
              <w:t>The call in 4–5 sentences: what, why now, what's mispriced</w:t>
            </w:r>
          </w:p>
        </w:tc>
        <w:tc>
          <w:tcPr>
            <w:tcW w:type="dxa" w:w="2412"/>
          </w:tcPr>
          <w:p>
            <w:pPr>
              <w:jc w:val="right"/>
            </w:pPr>
            <w:r>
              <w:rPr>
                <w:sz w:val="19"/>
              </w:rPr>
            </w:r>
            <w:r>
              <w:rPr>
                <w:sz w:val="19"/>
              </w:rPr>
              <w:t>A point of view, not a summary</w:t>
            </w:r>
          </w:p>
        </w:tc>
      </w:tr>
      <w:tr>
        <w:tc>
          <w:tcPr>
            <w:tcW w:type="dxa" w:w="2412"/>
          </w:tcPr>
          <w:p>
            <w:r>
              <w:rPr>
                <w:sz w:val="19"/>
              </w:rPr>
            </w:r>
            <w:r>
              <w:rPr>
                <w:sz w:val="19"/>
              </w:rPr>
              <w:t>2</w:t>
            </w:r>
          </w:p>
        </w:tc>
        <w:tc>
          <w:tcPr>
            <w:tcW w:type="dxa" w:w="2412"/>
          </w:tcPr>
          <w:p>
            <w:pPr>
              <w:jc w:val="right"/>
            </w:pPr>
            <w:r>
              <w:rPr>
                <w:sz w:val="19"/>
              </w:rPr>
            </w:r>
            <w:r>
              <w:rPr>
                <w:b/>
                <w:sz w:val="19"/>
              </w:rPr>
              <w:t>Variant perception</w:t>
            </w:r>
          </w:p>
        </w:tc>
        <w:tc>
          <w:tcPr>
            <w:tcW w:type="dxa" w:w="2412"/>
          </w:tcPr>
          <w:p>
            <w:pPr>
              <w:jc w:val="right"/>
            </w:pPr>
            <w:r>
              <w:rPr>
                <w:sz w:val="19"/>
              </w:rPr>
            </w:r>
            <w:r>
              <w:rPr>
                <w:sz w:val="19"/>
              </w:rPr>
              <w:t>The 3–5 places you differ from consensus/AI and *why you're right*</w:t>
            </w:r>
          </w:p>
        </w:tc>
        <w:tc>
          <w:tcPr>
            <w:tcW w:type="dxa" w:w="2412"/>
          </w:tcPr>
          <w:p>
            <w:pPr>
              <w:jc w:val="right"/>
            </w:pPr>
            <w:r>
              <w:rPr>
                <w:sz w:val="19"/>
              </w:rPr>
            </w:r>
            <w:r>
              <w:rPr>
                <w:sz w:val="19"/>
              </w:rPr>
              <w:t>The reason to read you at all</w:t>
            </w:r>
          </w:p>
        </w:tc>
      </w:tr>
      <w:tr>
        <w:tc>
          <w:tcPr>
            <w:tcW w:type="dxa" w:w="2412"/>
          </w:tcPr>
          <w:p>
            <w:r>
              <w:rPr>
                <w:sz w:val="19"/>
              </w:rPr>
            </w:r>
            <w:r>
              <w:rPr>
                <w:sz w:val="19"/>
              </w:rPr>
              <w:t>3</w:t>
            </w:r>
          </w:p>
        </w:tc>
        <w:tc>
          <w:tcPr>
            <w:tcW w:type="dxa" w:w="2412"/>
          </w:tcPr>
          <w:p>
            <w:pPr>
              <w:jc w:val="right"/>
            </w:pPr>
            <w:r>
              <w:rPr>
                <w:sz w:val="19"/>
              </w:rPr>
            </w:r>
            <w:r>
              <w:rPr>
                <w:b/>
                <w:sz w:val="19"/>
              </w:rPr>
              <w:t>Results read-through</w:t>
            </w:r>
          </w:p>
        </w:tc>
        <w:tc>
          <w:tcPr>
            <w:tcW w:type="dxa" w:w="2412"/>
          </w:tcPr>
          <w:p>
            <w:pPr>
              <w:jc w:val="right"/>
            </w:pPr>
            <w:r>
              <w:rPr>
                <w:sz w:val="19"/>
              </w:rPr>
            </w:r>
            <w:r>
              <w:rPr>
                <w:sz w:val="19"/>
              </w:rPr>
              <w:t>Latest quarter, like-for-like vs headline, quality of the beat/miss</w:t>
            </w:r>
          </w:p>
        </w:tc>
        <w:tc>
          <w:tcPr>
            <w:tcW w:type="dxa" w:w="2412"/>
          </w:tcPr>
          <w:p>
            <w:pPr>
              <w:jc w:val="right"/>
            </w:pPr>
            <w:r>
              <w:rPr>
                <w:sz w:val="19"/>
              </w:rPr>
            </w:r>
            <w:r>
              <w:rPr>
                <w:sz w:val="19"/>
              </w:rPr>
              <w:t>Judgment on what the print *means*</w:t>
            </w:r>
          </w:p>
        </w:tc>
      </w:tr>
      <w:tr>
        <w:tc>
          <w:tcPr>
            <w:tcW w:type="dxa" w:w="2412"/>
          </w:tcPr>
          <w:p>
            <w:r>
              <w:rPr>
                <w:sz w:val="19"/>
              </w:rPr>
            </w:r>
            <w:r>
              <w:rPr>
                <w:sz w:val="19"/>
              </w:rPr>
              <w:t>4</w:t>
            </w:r>
          </w:p>
        </w:tc>
        <w:tc>
          <w:tcPr>
            <w:tcW w:type="dxa" w:w="2412"/>
          </w:tcPr>
          <w:p>
            <w:pPr>
              <w:jc w:val="right"/>
            </w:pPr>
            <w:r>
              <w:rPr>
                <w:sz w:val="19"/>
              </w:rPr>
            </w:r>
            <w:r>
              <w:rPr>
                <w:b/>
                <w:sz w:val="19"/>
              </w:rPr>
              <w:t>Earnings quality bridge</w:t>
            </w:r>
          </w:p>
        </w:tc>
        <w:tc>
          <w:tcPr>
            <w:tcW w:type="dxa" w:w="2412"/>
          </w:tcPr>
          <w:p>
            <w:pPr>
              <w:jc w:val="right"/>
            </w:pPr>
            <w:r>
              <w:rPr>
                <w:sz w:val="19"/>
              </w:rPr>
            </w:r>
            <w:r>
              <w:rPr>
                <w:sz w:val="19"/>
              </w:rPr>
              <w:t>Recurring vs one-off vs financial income; cash conversion; accruals</w:t>
            </w:r>
          </w:p>
        </w:tc>
        <w:tc>
          <w:tcPr>
            <w:tcW w:type="dxa" w:w="2412"/>
          </w:tcPr>
          <w:p>
            <w:pPr>
              <w:jc w:val="right"/>
            </w:pPr>
            <w:r>
              <w:rPr>
                <w:sz w:val="19"/>
              </w:rPr>
            </w:r>
            <w:r>
              <w:rPr>
                <w:sz w:val="19"/>
              </w:rPr>
              <w:t>Forensics AI skips</w:t>
            </w:r>
          </w:p>
        </w:tc>
      </w:tr>
      <w:tr>
        <w:tc>
          <w:tcPr>
            <w:tcW w:type="dxa" w:w="2412"/>
          </w:tcPr>
          <w:p>
            <w:r>
              <w:rPr>
                <w:sz w:val="19"/>
              </w:rPr>
            </w:r>
            <w:r>
              <w:rPr>
                <w:sz w:val="19"/>
              </w:rPr>
              <w:t>5</w:t>
            </w:r>
          </w:p>
        </w:tc>
        <w:tc>
          <w:tcPr>
            <w:tcW w:type="dxa" w:w="2412"/>
          </w:tcPr>
          <w:p>
            <w:pPr>
              <w:jc w:val="right"/>
            </w:pPr>
            <w:r>
              <w:rPr>
                <w:sz w:val="19"/>
              </w:rPr>
            </w:r>
            <w:r>
              <w:rPr>
                <w:b/>
                <w:sz w:val="19"/>
              </w:rPr>
              <w:t>Model &amp; forecasts</w:t>
            </w:r>
          </w:p>
        </w:tc>
        <w:tc>
          <w:tcPr>
            <w:tcW w:type="dxa" w:w="2412"/>
          </w:tcPr>
          <w:p>
            <w:pPr>
              <w:jc w:val="right"/>
            </w:pPr>
            <w:r>
              <w:rPr>
                <w:sz w:val="19"/>
              </w:rPr>
            </w:r>
            <w:r>
              <w:rPr>
                <w:sz w:val="19"/>
              </w:rPr>
              <w:t>3-statement summary, key drivers, assumptions footnoted</w:t>
            </w:r>
          </w:p>
        </w:tc>
        <w:tc>
          <w:tcPr>
            <w:tcW w:type="dxa" w:w="2412"/>
          </w:tcPr>
          <w:p>
            <w:pPr>
              <w:jc w:val="right"/>
            </w:pPr>
            <w:r>
              <w:rPr>
                <w:sz w:val="19"/>
              </w:rPr>
            </w:r>
            <w:r>
              <w:rPr>
                <w:sz w:val="19"/>
              </w:rPr>
              <w:t>A transparent, stressable engine</w:t>
            </w:r>
          </w:p>
        </w:tc>
      </w:tr>
      <w:tr>
        <w:tc>
          <w:tcPr>
            <w:tcW w:type="dxa" w:w="2412"/>
          </w:tcPr>
          <w:p>
            <w:r>
              <w:rPr>
                <w:sz w:val="19"/>
              </w:rPr>
            </w:r>
            <w:r>
              <w:rPr>
                <w:sz w:val="19"/>
              </w:rPr>
              <w:t>6</w:t>
            </w:r>
          </w:p>
        </w:tc>
        <w:tc>
          <w:tcPr>
            <w:tcW w:type="dxa" w:w="2412"/>
          </w:tcPr>
          <w:p>
            <w:pPr>
              <w:jc w:val="right"/>
            </w:pPr>
            <w:r>
              <w:rPr>
                <w:sz w:val="19"/>
              </w:rPr>
            </w:r>
            <w:r>
              <w:rPr>
                <w:b/>
                <w:sz w:val="19"/>
              </w:rPr>
              <w:t>Valuation</w:t>
            </w:r>
          </w:p>
        </w:tc>
        <w:tc>
          <w:tcPr>
            <w:tcW w:type="dxa" w:w="2412"/>
          </w:tcPr>
          <w:p>
            <w:pPr>
              <w:jc w:val="right"/>
            </w:pPr>
            <w:r>
              <w:rPr>
                <w:sz w:val="19"/>
              </w:rPr>
            </w:r>
            <w:r>
              <w:rPr>
                <w:sz w:val="19"/>
              </w:rPr>
              <w:t xml:space="preserve">Primary (DCF/NAV) + 1–2 cross-checks + </w:t>
            </w:r>
            <w:r>
              <w:rPr>
                <w:b/>
                <w:sz w:val="19"/>
              </w:rPr>
              <w:t>sensitivity grid</w:t>
            </w:r>
          </w:p>
        </w:tc>
        <w:tc>
          <w:tcPr>
            <w:tcW w:type="dxa" w:w="2412"/>
          </w:tcPr>
          <w:p>
            <w:pPr>
              <w:jc w:val="right"/>
            </w:pPr>
            <w:r>
              <w:rPr>
                <w:sz w:val="19"/>
              </w:rPr>
            </w:r>
            <w:r>
              <w:rPr>
                <w:sz w:val="19"/>
              </w:rPr>
              <w:t>Generative, not descriptive</w:t>
            </w:r>
          </w:p>
        </w:tc>
      </w:tr>
      <w:tr>
        <w:tc>
          <w:tcPr>
            <w:tcW w:type="dxa" w:w="2412"/>
          </w:tcPr>
          <w:p>
            <w:r>
              <w:rPr>
                <w:sz w:val="19"/>
              </w:rPr>
            </w:r>
            <w:r>
              <w:rPr>
                <w:sz w:val="19"/>
              </w:rPr>
              <w:t>7</w:t>
            </w:r>
          </w:p>
        </w:tc>
        <w:tc>
          <w:tcPr>
            <w:tcW w:type="dxa" w:w="2412"/>
          </w:tcPr>
          <w:p>
            <w:pPr>
              <w:jc w:val="right"/>
            </w:pPr>
            <w:r>
              <w:rPr>
                <w:sz w:val="19"/>
              </w:rPr>
            </w:r>
            <w:r>
              <w:rPr>
                <w:b/>
                <w:sz w:val="19"/>
              </w:rPr>
              <w:t>Catalyst calendar</w:t>
            </w:r>
          </w:p>
        </w:tc>
        <w:tc>
          <w:tcPr>
            <w:tcW w:type="dxa" w:w="2412"/>
          </w:tcPr>
          <w:p>
            <w:pPr>
              <w:jc w:val="right"/>
            </w:pPr>
            <w:r>
              <w:rPr>
                <w:sz w:val="19"/>
              </w:rPr>
            </w:r>
            <w:r>
              <w:rPr>
                <w:sz w:val="19"/>
              </w:rPr>
              <w:t>Dated, trackable events mapped to the re-rating path</w:t>
            </w:r>
          </w:p>
        </w:tc>
        <w:tc>
          <w:tcPr>
            <w:tcW w:type="dxa" w:w="2412"/>
          </w:tcPr>
          <w:p>
            <w:pPr>
              <w:jc w:val="right"/>
            </w:pPr>
            <w:r>
              <w:rPr>
                <w:sz w:val="19"/>
              </w:rPr>
            </w:r>
            <w:r>
              <w:rPr>
                <w:sz w:val="19"/>
              </w:rPr>
              <w:t>Actionability</w:t>
            </w:r>
          </w:p>
        </w:tc>
      </w:tr>
      <w:tr>
        <w:tc>
          <w:tcPr>
            <w:tcW w:type="dxa" w:w="2412"/>
          </w:tcPr>
          <w:p>
            <w:r>
              <w:rPr>
                <w:sz w:val="19"/>
              </w:rPr>
            </w:r>
            <w:r>
              <w:rPr>
                <w:sz w:val="19"/>
              </w:rPr>
              <w:t>8</w:t>
            </w:r>
          </w:p>
        </w:tc>
        <w:tc>
          <w:tcPr>
            <w:tcW w:type="dxa" w:w="2412"/>
          </w:tcPr>
          <w:p>
            <w:pPr>
              <w:jc w:val="right"/>
            </w:pPr>
            <w:r>
              <w:rPr>
                <w:sz w:val="19"/>
              </w:rPr>
            </w:r>
            <w:r>
              <w:rPr>
                <w:b/>
                <w:sz w:val="19"/>
              </w:rPr>
              <w:t>Risks &amp; "what would change our view"</w:t>
            </w:r>
          </w:p>
        </w:tc>
        <w:tc>
          <w:tcPr>
            <w:tcW w:type="dxa" w:w="2412"/>
          </w:tcPr>
          <w:p>
            <w:pPr>
              <w:jc w:val="right"/>
            </w:pPr>
            <w:r>
              <w:rPr>
                <w:sz w:val="19"/>
              </w:rPr>
            </w:r>
            <w:r>
              <w:rPr>
                <w:sz w:val="19"/>
              </w:rPr>
              <w:t>Ranked, falsifiable triggers to watch</w:t>
            </w:r>
          </w:p>
        </w:tc>
        <w:tc>
          <w:tcPr>
            <w:tcW w:type="dxa" w:w="2412"/>
          </w:tcPr>
          <w:p>
            <w:pPr>
              <w:jc w:val="right"/>
            </w:pPr>
            <w:r>
              <w:rPr>
                <w:sz w:val="19"/>
              </w:rPr>
            </w:r>
            <w:r>
              <w:rPr>
                <w:sz w:val="19"/>
              </w:rPr>
              <w:t>Intellectual honesty</w:t>
            </w:r>
          </w:p>
        </w:tc>
      </w:tr>
      <w:tr>
        <w:tc>
          <w:tcPr>
            <w:tcW w:type="dxa" w:w="2412"/>
          </w:tcPr>
          <w:p>
            <w:r>
              <w:rPr>
                <w:sz w:val="19"/>
              </w:rPr>
            </w:r>
            <w:r>
              <w:rPr>
                <w:sz w:val="19"/>
              </w:rPr>
              <w:t>9</w:t>
            </w:r>
          </w:p>
        </w:tc>
        <w:tc>
          <w:tcPr>
            <w:tcW w:type="dxa" w:w="2412"/>
          </w:tcPr>
          <w:p>
            <w:pPr>
              <w:jc w:val="right"/>
            </w:pPr>
            <w:r>
              <w:rPr>
                <w:sz w:val="19"/>
              </w:rPr>
            </w:r>
            <w:r>
              <w:rPr>
                <w:b/>
                <w:sz w:val="19"/>
              </w:rPr>
              <w:t>Primary-research appendix</w:t>
            </w:r>
          </w:p>
        </w:tc>
        <w:tc>
          <w:tcPr>
            <w:tcW w:type="dxa" w:w="2412"/>
          </w:tcPr>
          <w:p>
            <w:pPr>
              <w:jc w:val="right"/>
            </w:pPr>
            <w:r>
              <w:rPr>
                <w:sz w:val="19"/>
              </w:rPr>
            </w:r>
            <w:r>
              <w:rPr>
                <w:sz w:val="19"/>
              </w:rPr>
              <w:t>Channel checks, mall visits, management Q&amp;A</w:t>
            </w:r>
          </w:p>
        </w:tc>
        <w:tc>
          <w:tcPr>
            <w:tcW w:type="dxa" w:w="2412"/>
          </w:tcPr>
          <w:p>
            <w:pPr>
              <w:jc w:val="right"/>
            </w:pPr>
            <w:r>
              <w:rPr>
                <w:sz w:val="19"/>
              </w:rPr>
            </w:r>
            <w:r>
              <w:rPr>
                <w:sz w:val="19"/>
              </w:rPr>
              <w:t>Proprietary signal</w:t>
            </w:r>
          </w:p>
        </w:tc>
      </w:tr>
    </w:tbl>
    <w:p>
      <w:pPr>
        <w:spacing w:after="40"/>
      </w:pPr>
    </w:p>
    <w:p>
      <w:pPr>
        <w:spacing w:after="120"/>
      </w:pPr>
      <w:r>
        <w:t xml:space="preserve">Rule of thumb: </w:t>
      </w:r>
      <w:r>
        <w:rPr>
          <w:b/>
        </w:rPr>
        <w:t>if a section could have been written without leaving your desk or talking to anyone, an AI can already write it — so either add primary signal or cut it.</w:t>
      </w:r>
    </w:p>
    <w:p>
      <w:pPr>
        <w:spacing w:before="160" w:after="60"/>
      </w:pPr>
      <w:r>
        <w:rPr>
          <w:b/>
          <w:color w:val="1F3A5F"/>
          <w:sz w:val="25"/>
        </w:rPr>
        <w:t>4. Where you *should* use AI (raise productivity, not lower the bar)</w:t>
      </w:r>
    </w:p>
    <w:p>
      <w:pPr>
        <w:spacing w:after="120"/>
      </w:pPr>
      <w:r>
        <w:t>Use AI aggressively for the commodity layer so your hours go to the edge layer:</w:t>
      </w:r>
    </w:p>
    <w:p>
      <w:pPr>
        <w:pStyle w:val="ListBullet"/>
      </w:pPr>
      <w:r>
        <w:t>First drafts of company/industry background, history, ESG, and boilerplate.</w:t>
      </w:r>
    </w:p>
    <w:p>
      <w:pPr>
        <w:pStyle w:val="ListBullet"/>
      </w:pPr>
      <w:r>
        <w:t>Data extraction from filings/presentations (it built this brief in minutes), table formatting, translation (VN⇄EN⇄KR), and consistency/error-checking across a document.</w:t>
      </w:r>
    </w:p>
    <w:p>
      <w:pPr>
        <w:pStyle w:val="ListBullet"/>
      </w:pPr>
      <w:r>
        <w:t>Generating bear/bull checklists, question lists for management, and comp-table scaffolds.</w:t>
      </w:r>
    </w:p>
    <w:p>
      <w:pPr>
        <w:pStyle w:val="ListBullet"/>
      </w:pPr>
      <w:r>
        <w:t>Summarising long filings and surfacing changes vs the prior period.</w:t>
      </w:r>
    </w:p>
    <w:p>
      <w:pPr>
        <w:spacing w:after="120"/>
      </w:pPr>
      <w:r>
        <w:t xml:space="preserve">Keep the human on: </w:t>
      </w:r>
      <w:r>
        <w:rPr>
          <w:b/>
        </w:rPr>
        <w:t>the rating and TP, the model, the channel checks, the earnings-quality judgment, the variant-perception call, and the client conversation.</w:t>
      </w:r>
      <w:r>
        <w:t xml:space="preserve"> Disclose AI assistance (TCBS does) — but never let it own the call.</w:t>
      </w:r>
    </w:p>
    <w:p>
      <w:pPr>
        <w:spacing w:before="160" w:after="60"/>
      </w:pPr>
      <w:r>
        <w:rPr>
          <w:b/>
          <w:color w:val="1F3A5F"/>
          <w:sz w:val="25"/>
        </w:rPr>
        <w:t>5. Self-audit of the VRE report I drafted (you asked me to audit my own work)</w:t>
      </w:r>
    </w:p>
    <w:p>
      <w:pPr>
        <w:spacing w:after="120"/>
      </w:pPr>
      <w:r>
        <w:t>In the spirit of the framework, here is where my own `VRE_Investment_Report.md` is soft and must be hardened before it goes near a client:</w:t>
      </w:r>
    </w:p>
    <w:p>
      <w:pPr>
        <w:pStyle w:val="ListNumber"/>
      </w:pPr>
      <w:r>
        <w:rPr>
          <w:b/>
        </w:rPr>
        <w:t>The +47% upside rests on one number I could not independently verify.</w:t>
      </w:r>
      <w:r>
        <w:t xml:space="preserve"> The VND23,800 spot is a single cell in the model dated 29 Jun 2026; the TCX report shows VND29,600 on 9 Jun. If the live price is ~29,600, upside is ~18% (a Trading Buy, not a Buy). </w:t>
      </w:r>
      <w:r>
        <w:rPr>
          <w:b/>
        </w:rPr>
        <w:t>Refresh the live quote before publishing</w:t>
      </w:r>
      <w:r>
        <w:t xml:space="preserve"> — the rating label is price-sensitive at these levels.</w:t>
      </w:r>
    </w:p>
    <w:p>
      <w:pPr>
        <w:pStyle w:val="ListNumber"/>
      </w:pPr>
      <w:r>
        <w:rPr>
          <w:b/>
        </w:rPr>
        <w:t>The model is not clean.</w:t>
      </w:r>
      <w:r>
        <w:t xml:space="preserve"> It contains `#DIV/0!` and `#REF!` cells (2026F OP/PBT/NP, FCF), a </w:t>
      </w:r>
      <w:r>
        <w:rPr>
          <w:b/>
        </w:rPr>
        <w:t>sensitivity table that is hard-coded flat at 34,972</w:t>
      </w:r>
      <w:r>
        <w:t xml:space="preserve"> (i.e., not wired up), a </w:t>
      </w:r>
      <w:r>
        <w:rPr>
          <w:b/>
        </w:rPr>
        <w:t>share-count inconsistency</w:t>
      </w:r>
      <w:r>
        <w:t xml:space="preserve"> (2,272m in the header vs 2,328.8m in the DCF — a ~2.5% TP swing), and the DCF EBIT (4,462→4,251→5,891) is both lower than and inconsistent with the Summary OP (5,636→7,391→8,878) — and it *declines* 2025→2026, which needs explaining. </w:t>
      </w:r>
      <w:r>
        <w:rPr>
          <w:b/>
        </w:rPr>
        <w:t>The TP of VND34,972 should be re-derived on a single reconciled model run; I took it as given.</w:t>
      </w:r>
    </w:p>
    <w:p>
      <w:pPr>
        <w:pStyle w:val="ListNumber"/>
      </w:pPr>
      <w:r>
        <w:rPr>
          <w:b/>
        </w:rPr>
        <w:t>Version drift papered over.</w:t>
      </w:r>
      <w:r>
        <w:t xml:space="preserve"> My forecast table blends two model vintages (2026F revenue 9,645 in the updated "New" sheets vs 11,353 in the prior report, with shophouse timing the swing factor). The numbers are directionally right but not all internally tied. Pick one vintage and rebuild end-to-end.</w:t>
      </w:r>
    </w:p>
    <w:p>
      <w:pPr>
        <w:pStyle w:val="ListNumber"/>
      </w:pPr>
      <w:r>
        <w:rPr>
          <w:b/>
        </w:rPr>
        <w:t>The related-party thesis is inferred, not confirmed.</w:t>
      </w:r>
      <w:r>
        <w:t xml:space="preserve"> I read the ~VND29.5tn deposits/intercompany-lending and ~10–13% rates from the model and the 3Q25 note; I have </w:t>
      </w:r>
      <w:r>
        <w:rPr>
          <w:b/>
        </w:rPr>
        <w:t>not</w:t>
      </w:r>
      <w:r>
        <w:t xml:space="preserve"> seen the audited related-party note itself. The "VinFast loan" cells carry obvious unit typos, so I did not lean on their magnitude. Treat the governance angle as *needs primary confirmation* — it could be benign intra-group treasury at market rates, or it could be the most important risk in the name. Don't overstate either way.</w:t>
      </w:r>
    </w:p>
    <w:p>
      <w:pPr>
        <w:pStyle w:val="ListNumber"/>
      </w:pPr>
      <w:r>
        <w:rPr>
          <w:b/>
        </w:rPr>
        <w:t>Normalised earnings is a range (~VND4.5–5.0tn), not a point</w:t>
      </w:r>
      <w:r>
        <w:t xml:space="preserve"> — say so, and show the bridge, rather than implying false precision.</w:t>
      </w:r>
    </w:p>
    <w:p>
      <w:pPr>
        <w:pStyle w:val="ListNumber"/>
      </w:pPr>
      <w:r>
        <w:rPr>
          <w:b/>
        </w:rPr>
        <w:t>The peer comps are inherited from the competitor's table</w:t>
      </w:r>
      <w:r>
        <w:t xml:space="preserve"> (their Bloomberg/Morningstar pull). Pull them fresh and independently rather than launder a rival's data.</w:t>
      </w:r>
    </w:p>
    <w:p>
      <w:pPr>
        <w:spacing w:after="120"/>
      </w:pPr>
      <w:r>
        <w:t>None of these break the BUY thesis — the de-rating-into-an-operating-inflection logic holds on P/B alone — but they are exactly the cracks a good buy-side PM will probe, and fixing them *is* the value-add over the AI report.</w:t>
      </w:r>
    </w:p>
    <w:p>
      <w:pPr>
        <w:spacing w:before="40" w:after="40"/>
        <w:pBdr>
          <w:bottom w:val="single" w:sz="6" w:space="1" w:color="BBBBBB"/>
        </w:pBdr>
      </w:pPr>
    </w:p>
    <w:p>
      <w:r>
        <w:rPr>
          <w:i/>
          <w:color w:val="555555"/>
          <w:sz w:val="18"/>
        </w:rPr>
        <w:t>Companion files: `VRE_Investment_Report.md` (the 2–3 page note) and `VRE_1Q26_Report_Loop_Prompt.md` (the reusable prompt for refreshing a condensed 1Q26-focused note).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