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32"/>
        </w:rPr>
        <w:t>Vincom Retail JSC (VRE VN) — Look past the one-offs; the leasing engine is re-rating</w:t>
      </w:r>
    </w:p>
    <w:p>
      <w:pPr>
        <w:spacing w:after="120"/>
      </w:pPr>
      <w:r>
        <w:rPr>
          <w:b/>
        </w:rPr>
        <w:t>Mirae Asset Securities (Vietnam) JSC · Commercial Real Estate · Initiation/Update</w:t>
      </w:r>
    </w:p>
    <w:p>
      <w:pPr>
        <w:spacing w:after="120"/>
      </w:pPr>
      <w:r>
        <w:rPr>
          <w:b/>
        </w:rPr>
        <w:t>Analyst: Quan Ton — quan.td@miraeasset.com.vn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824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Rating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BUY</w:t>
            </w:r>
            <w:r>
              <w:rPr>
                <w:sz w:val="19"/>
              </w:rPr>
              <w:t xml:space="preserve"> (Maintain)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Target price (12M)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VND 34,972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Current price (29 Jun 2026)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VND 23,800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Expected return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+47%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Valuation method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FCFF DCF (WACC 11%, terminal g 1%)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PBT 2026F (VNDbn)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~6,400 (vs consensus ~6,500)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EPS 2026F (VND)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~2,400 · P/E 2026F ~9.9x (spot) / 14.6x (TP)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P/B (spot / 8-yr avg)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~1.1x / ~1.9x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Market cap (VNDbn)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~54,100 · Shares o/s 2,272m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Free float / Foreign own.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~40% / ~13% · Beta 1.2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</w:r>
            <w:r>
              <w:rPr>
                <w:sz w:val="19"/>
              </w:rPr>
              <w:t>52-week range (VND)</w:t>
            </w:r>
          </w:p>
        </w:tc>
        <w:tc>
          <w:tcPr>
            <w:tcW w:type="dxa" w:w="4824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21,600 – 45,200</w:t>
            </w:r>
          </w:p>
        </w:tc>
      </w:tr>
    </w:tbl>
    <w:p>
      <w:pPr>
        <w:spacing w:after="40"/>
      </w:pPr>
    </w:p>
    <w:p>
      <w:pPr>
        <w:ind w:left="288"/>
      </w:pPr>
      <w:r>
        <w:rPr>
          <w:i/>
          <w:color w:val="555555"/>
          <w:sz w:val="19"/>
        </w:rPr>
        <w:t>Reported figures are stated where relevant in VAS. 2025 reported PAT (VND6,446bn) includes a ~VND1,900bn one-off divestment gain; we value the company on its normalised, recurring earnings. Refresh the spot price and implied return at publication.</w:t>
      </w:r>
    </w:p>
    <w:p>
      <w:pPr>
        <w:spacing w:before="40" w:after="40"/>
        <w:pBdr>
          <w:bottom w:val="single" w:sz="6" w:space="1" w:color="BBBBBB"/>
        </w:pBdr>
      </w:pPr>
    </w:p>
    <w:p>
      <w:pPr>
        <w:spacing w:before="160" w:after="60"/>
      </w:pPr>
      <w:r>
        <w:rPr>
          <w:b/>
          <w:color w:val="1F3A5F"/>
          <w:sz w:val="25"/>
        </w:rPr>
        <w:t>Investment thesis</w:t>
      </w:r>
    </w:p>
    <w:p>
      <w:pPr>
        <w:spacing w:after="120"/>
      </w:pPr>
      <w:r>
        <w:t xml:space="preserve">We rate </w:t>
      </w:r>
      <w:r>
        <w:rPr>
          <w:b/>
        </w:rPr>
        <w:t>VRE a BUY with a 12-month target price of VND34,972</w:t>
      </w:r>
      <w:r>
        <w:t xml:space="preserve">, ~47% above the current VND23,800. The stock has de-rated to ~1.1x trailing P/B — close to its 2024 trough (0.9x) and ~40% below its eight-year average (~1.9x) — at the very moment its operating metrics are inflecting. 1Q2026 delivered leasing revenue +9.0% YoY, NPATMI +36.4%, system occupancy of 88.9% (+2.8ppt) and footfall +13.2%, on a balance sheet carrying net debt/equity of just 4.9%. Our target is set on a three-year FCFF DCF and corroborated by a P/B that remains below mid-cycle even after the move. </w:t>
      </w:r>
      <w:r>
        <w:rPr>
          <w:b/>
        </w:rPr>
        <w:t>The core call is simple: the market is pricing VRE as a melting ice cube under e-commerce and Aeon pressure, while the leasing engine is quietly compounding and a Mega-Mall pipeline in Vinhomes townships is about to add ~11% to GFA.</w:t>
      </w:r>
      <w:r>
        <w:t xml:space="preserve"> The catalysts are timing-based and trackable, not existential.</w:t>
      </w:r>
    </w:p>
    <w:p>
      <w:pPr>
        <w:spacing w:after="120"/>
      </w:pPr>
      <w:r>
        <w:t xml:space="preserve">Where we differ from the consensus narrative — and from the AI-assisted competitor initiation now circulating — is on </w:t>
      </w:r>
      <w:r>
        <w:rPr>
          <w:b/>
        </w:rPr>
        <w:t>earnings quality</w:t>
      </w:r>
      <w:r>
        <w:t>. We do not take the reported VND6,446bn 2025 PAT at face value, and we are explicit that a growing share of VRE's "profit" is interest income on related-party deposits rather than rent. We think that distinction *raises* conviction rather than lowering it, because it means the de-rating has been driven by headline noise that obscures a durable, high-margin leasing annuity.</w:t>
      </w:r>
    </w:p>
    <w:p>
      <w:pPr>
        <w:spacing w:before="40" w:after="40"/>
        <w:pBdr>
          <w:bottom w:val="single" w:sz="6" w:space="1" w:color="BBBBBB"/>
        </w:pBdr>
      </w:pPr>
    </w:p>
    <w:p>
      <w:pPr>
        <w:spacing w:before="160" w:after="60"/>
      </w:pPr>
      <w:r>
        <w:rPr>
          <w:b/>
          <w:color w:val="1F3A5F"/>
          <w:sz w:val="25"/>
        </w:rPr>
        <w:t>1. 1Q2026: the operating inflection is real</w:t>
      </w:r>
    </w:p>
    <w:p>
      <w:pPr>
        <w:spacing w:after="120"/>
      </w:pPr>
      <w:r>
        <w:t xml:space="preserve">VRE reported 1Q2026 total revenue of </w:t>
      </w:r>
      <w:r>
        <w:rPr>
          <w:b/>
        </w:rPr>
        <w:t>VND2,294bn (+7.6% YoY)</w:t>
      </w:r>
      <w:r>
        <w:t xml:space="preserve"> and </w:t>
      </w:r>
      <w:r>
        <w:rPr>
          <w:b/>
        </w:rPr>
        <w:t>NPATMI of VND1,606bn (+36.4%)</w:t>
      </w:r>
      <w:r>
        <w:t xml:space="preserve">, completing 25% of full-year revenue guidance and ~30% of the profit plan in the seasonally soft first quarter. Stripping the divested Vincom Center Nguyễn Chí Thanh, like-for-like leasing revenue rose </w:t>
      </w:r>
      <w:r>
        <w:rPr>
          <w:b/>
        </w:rPr>
        <w:t>+11.8%</w:t>
      </w:r>
      <w:r>
        <w:t xml:space="preserve"> and like-for-like NPATMI </w:t>
      </w:r>
      <w:r>
        <w:rPr>
          <w:b/>
        </w:rPr>
        <w:t>+38.4%</w:t>
      </w:r>
      <w:r>
        <w:t xml:space="preserve"> — i.e., the underlying portfolio is accelerating, not coasting on disposals.</w:t>
      </w:r>
    </w:p>
    <w:p>
      <w:pPr>
        <w:spacing w:after="120"/>
      </w:pPr>
      <w:r>
        <w:t>The quality indicators all moved the right way:</w:t>
      </w:r>
    </w:p>
    <w:p>
      <w:pPr>
        <w:pStyle w:val="ListBullet"/>
      </w:pPr>
      <w:r>
        <w:rPr>
          <w:b/>
        </w:rPr>
        <w:t>Occupancy 88.9%</w:t>
      </w:r>
      <w:r>
        <w:t xml:space="preserve"> (+2.8ppt YoY), led by Vincom Center (97.1%) and Vincom Mega Mall (92.7%), with provincial Vincom Plaza at 84.1% and Vincom+ recovering to 81.5%.</w:t>
      </w:r>
    </w:p>
    <w:p>
      <w:pPr>
        <w:pStyle w:val="ListBullet"/>
      </w:pPr>
      <w:r>
        <w:rPr>
          <w:b/>
        </w:rPr>
        <w:t>Footfall +13.2%</w:t>
      </w:r>
      <w:r>
        <w:t xml:space="preserve"> at malls (plus +15.9% at the new commercial-street format), with experience-led F&amp;B and Entertainment categories taking ~52% of new leasing area — the right mix to defend against both e-commerce and Aeon's destination model.</w:t>
      </w:r>
    </w:p>
    <w:p>
      <w:pPr>
        <w:pStyle w:val="ListBullet"/>
      </w:pPr>
      <w:r>
        <w:rPr>
          <w:b/>
        </w:rPr>
        <w:t>Leasing NOI margin 70.4%</w:t>
      </w:r>
      <w:r>
        <w:t xml:space="preserve"> and EBITDA margin 62.6% — among the highest of any listed SEA mall operator.</w:t>
      </w:r>
    </w:p>
    <w:p>
      <w:pPr>
        <w:spacing w:after="120"/>
      </w:pPr>
      <w:r>
        <w:t>Macro is a tailwind, not a headwind: 1Q26 GDP grew +7.83% (a 15-year high), real retail sales +7%, and FDI disbursement hit a record. New competing supply is modest (Hanoi +58,000 m², HCMC flat), and CBD asking rents posted single-digit growth — supportive of the rent step-ups embedded in VRE's renewals.</w:t>
      </w:r>
    </w:p>
    <w:p>
      <w:pPr>
        <w:spacing w:before="160" w:after="60"/>
      </w:pPr>
      <w:r>
        <w:rPr>
          <w:b/>
          <w:color w:val="1F3A5F"/>
          <w:sz w:val="25"/>
        </w:rPr>
        <w:t>2. Earnings quality — read past the headline (our differentiator)</w:t>
      </w:r>
    </w:p>
    <w:p>
      <w:pPr>
        <w:spacing w:after="120"/>
      </w:pPr>
      <w:r>
        <w:t>This is where a model earns its keep. VRE's 2025 reported PBT of ~VND8,083bn breaks into three very different streams that deserve three very different multiples: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Profit stream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2025 (VNDbn)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Character</w:t>
            </w:r>
          </w:p>
        </w:tc>
        <w:tc>
          <w:tcPr>
            <w:tcW w:type="dxa" w:w="2412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Our treatment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Core mall-leasing operating profit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~3,893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Recurring, defensive, high-margin annuity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Value at a premium multiple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Net financial income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~3,687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Interest on ~VND29.5tn of cash/deposits/</w:t>
            </w:r>
            <w:r>
              <w:rPr>
                <w:b/>
                <w:sz w:val="19"/>
              </w:rPr>
              <w:t>intercompany lending</w:t>
            </w:r>
            <w:r>
              <w:rPr>
                <w:sz w:val="19"/>
              </w:rPr>
              <w:t xml:space="preserve"> (incl. Vingroup/VinFast affiliates at 10–13%)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Recurring run-rate ~VND1,900bn; haircut for related-party/transparency risk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</w:r>
            <w:r>
              <w:rPr>
                <w:sz w:val="19"/>
              </w:rPr>
              <w:t>One-off disposal gain (Vincom NCT)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~1,900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Non-recurring</w:t>
            </w:r>
          </w:p>
        </w:tc>
        <w:tc>
          <w:tcPr>
            <w:tcW w:type="dxa" w:w="2412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Exclude from valuation earnings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Two points follow. </w:t>
      </w:r>
      <w:r>
        <w:rPr>
          <w:b/>
        </w:rPr>
        <w:t>First</w:t>
      </w:r>
      <w:r>
        <w:t xml:space="preserve">, "clean" 2025 earnings are closer to </w:t>
      </w:r>
      <w:r>
        <w:rPr>
          <w:b/>
        </w:rPr>
        <w:t>VND4.5–5.0tn</w:t>
      </w:r>
      <w:r>
        <w:t xml:space="preserve">, not the reported VND6.4tn — so the optically cheap ~9.8x reported P/E is really ~14–15x on normalised EPS, and the *honest* cheapness is on </w:t>
      </w:r>
      <w:r>
        <w:rPr>
          <w:b/>
        </w:rPr>
        <w:t>P/B</w:t>
      </w:r>
      <w:r>
        <w:t xml:space="preserve">, where VRE sits near a multi-year trough despite double-digit ROE. </w:t>
      </w:r>
      <w:r>
        <w:rPr>
          <w:b/>
        </w:rPr>
        <w:t>Second</w:t>
      </w:r>
      <w:r>
        <w:t xml:space="preserve">, VRE's cash/deposits/intercompany-lending balance jumped from ~VND17tn (2024) to </w:t>
      </w:r>
      <w:r>
        <w:rPr>
          <w:b/>
        </w:rPr>
        <w:t>~VND29.5tn (2025)</w:t>
      </w:r>
      <w:r>
        <w:t>, including a fresh ~VND6.2tn deposit to a related party for "future mall investment," generating ~VND2.5tn of recurring interest income at ~9%. That income is real, but it is *financial*, not operational, and it is concentrated in the Vingroup ecosystem.</w:t>
      </w:r>
    </w:p>
    <w:p>
      <w:pPr>
        <w:spacing w:after="120"/>
      </w:pPr>
      <w:r>
        <w:t xml:space="preserve">We treat this transparently: in our DCF we value the </w:t>
      </w:r>
      <w:r>
        <w:rPr>
          <w:b/>
        </w:rPr>
        <w:t>leasing FCFF</w:t>
      </w:r>
      <w:r>
        <w:t xml:space="preserve"> as the durable engine and normalise financial income down to ~VND1,900bn from 2026 (as the one-offs roll off). The related-party concentration is the single most important item we want management to disclose more granularly — counterparties, tenors, rates, and security. </w:t>
      </w:r>
      <w:r>
        <w:rPr>
          <w:b/>
        </w:rPr>
        <w:t>This is precisely the analysis an AI-generated report glosses over, and where Mirae adds value the screen cannot.</w:t>
      </w:r>
    </w:p>
    <w:p>
      <w:pPr>
        <w:spacing w:before="160" w:after="60"/>
      </w:pPr>
      <w:r>
        <w:rPr>
          <w:b/>
          <w:color w:val="1F3A5F"/>
          <w:sz w:val="25"/>
        </w:rPr>
        <w:t>3. Growth pipeline and a dated catalyst path</w:t>
      </w:r>
    </w:p>
    <w:p>
      <w:pPr>
        <w:spacing w:after="120"/>
      </w:pPr>
      <w:r>
        <w:t xml:space="preserve">VRE is entering a new opening cycle: </w:t>
      </w:r>
      <w:r>
        <w:rPr>
          <w:b/>
        </w:rPr>
        <w:t>~214,000 m² of GFA (~+11%)</w:t>
      </w:r>
      <w:r>
        <w:t xml:space="preserve"> of mostly Vincom Mega Malls tied to Vinhomes townships, where tens of thousands of captive residents compress the usual ramp-up. The pipeline is concrete and datable: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Catalyst</w:t>
            </w:r>
          </w:p>
        </w:tc>
        <w:tc>
          <w:tcPr>
            <w:tcW w:type="dxa" w:w="3216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3216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VCP Dan Phuong (Hanoi, 25,000 m²)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3Q2026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First modern mall in a growing Hanoi district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J-Town commercial streets, My Lam (Tuyen Quang)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4Q2026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New Vincom Collection format; tourism catchment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764,000 m² secured (deposits) + 980,000 m² under feasibility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2026–28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Visibility on the Mega-Mall ramp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VMM Apollo City (Quảng Ninh, ~110,000 m²), Green City (Long An), 4 malls at Green Paradise (HCMC)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Post-2026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The earnings-acceleration leg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</w:r>
            <w:r>
              <w:rPr>
                <w:sz w:val="19"/>
              </w:rPr>
              <w:t>Shophouse sales — Golden Avenue (~VND1.3tn), Royal Island (~VND4.8tn), Green Paradise (~1,300 units)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2027+</w:t>
            </w:r>
          </w:p>
        </w:tc>
        <w:tc>
          <w:tcPr>
            <w:tcW w:type="dxa" w:w="3216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Episodic cash-flow boosts; </w:t>
            </w:r>
            <w:r>
              <w:rPr>
                <w:b/>
                <w:sz w:val="19"/>
              </w:rPr>
              <w:t>timing keeps slipping</w:t>
            </w:r>
          </w:p>
        </w:tc>
      </w:tr>
    </w:tbl>
    <w:p>
      <w:pPr>
        <w:spacing w:after="40"/>
      </w:pPr>
    </w:p>
    <w:p>
      <w:pPr>
        <w:spacing w:after="120"/>
      </w:pPr>
      <w:r>
        <w:t>We model the leasing-led case: each m² of Mega-Mall GFA carries high incremental margin because the cost base is largely fixed, so EBITDA should re-accelerate toward its &gt;60% peak as new malls stabilise. The asset-recycling option (the Vincom NCT sale realised a ~VND1,900bn gain on a single asset) and a future REIT vehicle are unpriced sources of NAV.</w:t>
      </w:r>
    </w:p>
    <w:p>
      <w:pPr>
        <w:spacing w:before="160" w:after="60"/>
      </w:pPr>
      <w:r>
        <w:rPr>
          <w:b/>
          <w:color w:val="1F3A5F"/>
          <w:sz w:val="25"/>
        </w:rPr>
        <w:t>4. Valuation</w:t>
      </w:r>
    </w:p>
    <w:p>
      <w:pPr>
        <w:spacing w:after="120"/>
      </w:pPr>
      <w:r>
        <w:rPr>
          <w:b/>
        </w:rPr>
        <w:t>Primary — FCFF DCF.</w:t>
      </w:r>
      <w:r>
        <w:t xml:space="preserve"> Our target price of </w:t>
      </w:r>
      <w:r>
        <w:rPr>
          <w:b/>
        </w:rPr>
        <w:t>VND34,972</w:t>
      </w:r>
      <w:r>
        <w:t xml:space="preserve"> is set on an unlevered three-year explicit DCF (2026–28) plus terminal value, using </w:t>
      </w:r>
      <w:r>
        <w:rPr>
          <w:b/>
        </w:rPr>
        <w:t>WACC 11%</w:t>
      </w:r>
      <w:r>
        <w:t xml:space="preserve"> (cost of equity 10% on a 4% risk-free rate, beta 1.0, 5% country risk premium; pre-tax cost of debt 11%) and a </w:t>
      </w:r>
      <w:r>
        <w:rPr>
          <w:b/>
        </w:rPr>
        <w:t>1% terminal growth rate</w:t>
      </w:r>
      <w:r>
        <w:t>. This yields an enterprise NPV of ~VND79tn, an equity value of ~VND81tn after net cash, and ~VND35,000/share. The valuation is deliberately conservative: a 1% terminal growth understates the structural Vietnamese consumption story, and the model does not capitalise the REIT/asset-recycling optionality.</w:t>
      </w:r>
    </w:p>
    <w:p>
      <w:pPr>
        <w:spacing w:after="120"/>
      </w:pPr>
      <w:r>
        <w:rPr>
          <w:b/>
        </w:rPr>
        <w:t>Cross-check — P/B band.</w:t>
      </w:r>
      <w:r>
        <w:t xml:space="preserve"> At spot, VRE trades at ~1.1x trailing P/B versus an eight-year mean of ~1.9x (+1SD 2.5x; −2SD 1.1x). Our target sits at only ~1.6x P/B — still below mid-cycle — so we are not relying on a heroic re-rating; mean-reversion plus modest book growth gets us there.</w:t>
      </w:r>
    </w:p>
    <w:p>
      <w:pPr>
        <w:spacing w:after="120"/>
      </w:pPr>
      <w:r>
        <w:rPr>
          <w:b/>
        </w:rPr>
        <w:t>Cross-check — regional peers.</w:t>
      </w:r>
      <w:r>
        <w:t xml:space="preserve"> On normalised earnings VRE trades at ~14–15x P/E, broadly in line with Simon Property (~14x), CapitaLand Integrated (~17x) and Central Pattana (~15x) — but at a P/B discount to Central Pattana (4.4x) and SM Prime (1.7x) despite comparable or better margins. The discount is unjustified given VRE's scale moat and balance-sheet strength.</w:t>
      </w:r>
    </w:p>
    <w:p>
      <w:pPr>
        <w:spacing w:before="160" w:after="60"/>
      </w:pPr>
      <w:r>
        <w:rPr>
          <w:b/>
          <w:color w:val="1F3A5F"/>
          <w:sz w:val="25"/>
        </w:rPr>
        <w:t>5. Key forecasts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FY (Dec)</w:t>
            </w:r>
          </w:p>
        </w:tc>
        <w:tc>
          <w:tcPr>
            <w:tcW w:type="dxa" w:w="1930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2024A</w:t>
            </w:r>
          </w:p>
        </w:tc>
        <w:tc>
          <w:tcPr>
            <w:tcW w:type="dxa" w:w="1930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2025A</w:t>
            </w:r>
          </w:p>
        </w:tc>
        <w:tc>
          <w:tcPr>
            <w:tcW w:type="dxa" w:w="1930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2026F</w:t>
            </w:r>
          </w:p>
        </w:tc>
        <w:tc>
          <w:tcPr>
            <w:tcW w:type="dxa" w:w="1930"/>
            <w:shd w:val="clear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2027F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Revenue (VNDbn)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8,939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8,837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9,645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11,485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EBITDA (VNDbn)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5,152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~5,300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5,684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~5,900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Reported PBT (VNDbn)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5,133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8,083*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~6,400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~7,700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NPATMI (VNDbn)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4,096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6,446*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~5,400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~6,400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EPS (VND)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1,802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2,836*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~2,400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~2,800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ROE (%)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10.3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14.3*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~10.5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~11.0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P/B (x, at spot)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1.6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~1.1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~1.0</w:t>
            </w:r>
          </w:p>
        </w:tc>
      </w:tr>
      <w:tr>
        <w:tc>
          <w:tcPr>
            <w:tcW w:type="dxa" w:w="1930"/>
          </w:tcPr>
          <w:p>
            <w:r>
              <w:rPr>
                <w:sz w:val="19"/>
              </w:rPr>
            </w:r>
            <w:r>
              <w:rPr>
                <w:sz w:val="19"/>
              </w:rPr>
              <w:t>Net debt/equity (%)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~4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~4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~5</w:t>
            </w:r>
          </w:p>
        </w:tc>
        <w:tc>
          <w:tcPr>
            <w:tcW w:type="dxa" w:w="1930"/>
          </w:tcPr>
          <w:p>
            <w:pPr>
              <w:jc w:val="right"/>
            </w:pPr>
            <w:r>
              <w:rPr>
                <w:sz w:val="19"/>
              </w:rPr>
            </w:r>
            <w:r>
              <w:rPr>
                <w:sz w:val="19"/>
              </w:rPr>
              <w:t>~8</w:t>
            </w:r>
          </w:p>
        </w:tc>
      </w:tr>
    </w:tbl>
    <w:p>
      <w:pPr>
        <w:spacing w:after="40"/>
      </w:pPr>
    </w:p>
    <w:p>
      <w:pPr>
        <w:spacing w:after="120"/>
      </w:pPr>
      <w:r>
        <w:t>\* *2025 reported figures include a ~VND1,900bn one-off divestment gain. Normalised 2025 NPATMI is ~VND4.5–5.0tn. We lead with a leasing-led 2026F (shophouse sales deferred to 2027), which is below our prior and below the competitor's VND10,166bn topline — a deliberate, conservative read of slipping shophouse timing.*</w:t>
      </w:r>
    </w:p>
    <w:p>
      <w:pPr>
        <w:spacing w:before="160" w:after="60"/>
      </w:pPr>
      <w:r>
        <w:rPr>
          <w:b/>
          <w:color w:val="1F3A5F"/>
          <w:sz w:val="25"/>
        </w:rPr>
        <w:t>6. Risks and what would change our view</w:t>
      </w:r>
    </w:p>
    <w:p>
      <w:pPr>
        <w:pStyle w:val="ListNumber"/>
      </w:pPr>
      <w:r>
        <w:rPr>
          <w:b/>
        </w:rPr>
        <w:t>Aeon and the experience gap.</w:t>
      </w:r>
      <w:r>
        <w:t xml:space="preserve"> Aeon's free-parking, food-court destination model draws 6–10m visits/site — above Vincom Mega Mall's ~5m. If like-for-like footfall at older Vincom Plazas/Centers turns negative, rent renewals weaken. *Watch: like-for-like (not system-wide) footfall.*</w:t>
      </w:r>
    </w:p>
    <w:p>
      <w:pPr>
        <w:pStyle w:val="ListNumber"/>
      </w:pPr>
      <w:r>
        <w:rPr>
          <w:b/>
        </w:rPr>
        <w:t>Related-party concentration.</w:t>
      </w:r>
      <w:r>
        <w:t xml:space="preserve"> ~VND29.5tn of deposits/intercompany lending and ~90% of the pipeline tied to Vinhomes. A change in ecosystem terms, deposit rates, or handover pace would hit both financial income and the growth engine. *Watch: related-party note disclosures, deposit yields.*</w:t>
      </w:r>
    </w:p>
    <w:p>
      <w:pPr>
        <w:pStyle w:val="ListNumber"/>
      </w:pPr>
      <w:r>
        <w:rPr>
          <w:b/>
        </w:rPr>
        <w:t>Shophouse-timing slippage.</w:t>
      </w:r>
      <w:r>
        <w:t xml:space="preserve"> Golden Avenue and Royal Island have already slipped from 4Q25; further delays push out the 2027 cash-flow leg (our explicit reason for a conservative 2026F).</w:t>
      </w:r>
    </w:p>
    <w:p>
      <w:pPr>
        <w:pStyle w:val="ListNumber"/>
      </w:pPr>
      <w:r>
        <w:rPr>
          <w:b/>
        </w:rPr>
        <w:t>Investment-phase cash drag.</w:t>
      </w:r>
      <w:r>
        <w:t xml:space="preserve"> 2025 operating cash flow was negative (−VND3,262bn) on rising receivables/prepayments; the cycle is funded by asset recycling and debt. *Watch: cash conversion of EBITDA.*</w:t>
      </w:r>
    </w:p>
    <w:p>
      <w:pPr>
        <w:spacing w:after="120"/>
      </w:pPr>
      <w:r>
        <w:rPr>
          <w:b/>
        </w:rPr>
        <w:t>We would downgrade if</w:t>
      </w:r>
      <w:r>
        <w:t xml:space="preserve"> like-for-like footfall turns negative for two consecutive quarters, *or* related-party deposits rise materially further without disclosure of terms, *or* the Mega-Mall pipeline slips beyond 2028.</w:t>
      </w:r>
    </w:p>
    <w:p>
      <w:pPr>
        <w:spacing w:before="40" w:after="40"/>
        <w:pBdr>
          <w:bottom w:val="single" w:sz="6" w:space="1" w:color="BBBBBB"/>
        </w:pBdr>
      </w:pPr>
    </w:p>
    <w:p>
      <w:r>
        <w:rPr>
          <w:i/>
          <w:color w:val="555555"/>
          <w:sz w:val="18"/>
        </w:rPr>
        <w:t>This document is an analyst work product prepared from company disclosures (1Q2026 results), a proprietary financial model, and third-party industry data. It is not the official Mirae Asset house view until reviewed and published through compliance. Ratings: Buy ≥+20%, Trading Buy +10–20%, Hold −10/+10%, Sell ≤−10%.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