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6,623</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11.5</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against management guidance of approximately 5.6%. Group 3-5 balances rose approximately VND7,800bn to VND47,957bn, of which about 67% (VND32,000bn) is Group 5, while Group 4 more than doubled (+156%). We set FY26F NPL at 5.5%, from below 4.5%, and FY27F at 4.0% from 3.1%. The clean-up is reserve-funded, not P&amp;L-funded: reserves reached VND27.2tn at end-2Q26 — 56.7% coverage, up from 50.0% at end-FY25 — after VND7.1tn of 1H26 charges and almost no write-offs. A further VND4.0tn charge in 2H26 funds write-offs of VND11.8tn, or 37% of the Group 5 balance, leaving coverage back at 50.0%. Holding coverage at 50% is what caps the improvement at 5.5%, and it needs 2H26 NPL formation at roughly a quarter of the 1H26 pace.</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 We raise FY26F PBT to VND8,507bn (+11.5% YoY) from VND7,934bn, entirely on the cost line: 1H26 CIR came in at 35.6% against the 42.9% previously carried, and we now assume 40.0% (-0.7%p YoY), 38.0% in FY27F and 36.0% in FY28F. That still allows 2H26 opex 9.6% above 1H26, and implies 2H26 PBT of VND4,371bn — around 15x the 2H25 base. Other FY26F assumptions: NII of VND26,712bn (+0.1% YoY), NIM of 2.92% (-40bps YoY) and provisioning of VND11.1tn (-2.6% YoY); we flag 1H26 loan growth of 1.5% against the 11.7% carried for the full year. Separately, STB's seizure of 507 land-use right certificates at LDG's Viva City against VND350bn of overdue principal is immaterial in size but shows the collateral channel the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66,544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77,970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94,434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37,847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45,838</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6,623</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11.5</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 Chúng tôi đặt giả định nợ xấu FY26F ở 5.5% (từ dưới 4.5%) và FY27F ở 4.0% (từ 3.1%). Quá trình xử lý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bao phủ về 50.0%. Việc giữ bao phủ ở 50% giới hạn mức cải thiện ở 5.5%, đồng thời cần nợ xấu phát sinh mới 2H26 chỉ bằng khoảng một phần tư nhịp 1H26.</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 Chúng tôi nâng dự phóng LNTT FY26F lên 8,507 tỷ đồng (+11.5% CK) từ 7,934 tỷ đồng, hoàn toàn nhờ chi phí hoạt động: CIR 1H26 chỉ 35.6% so với 42.9% dự phóng trước đây, và chúng tôi điều chỉnh về 40.0% (-0.7%p CK), 38.0% FY27F và 36.0% FY28F. Mức này vẫn cho phép chi phí hoạt động 2H26 cao hơn 1H26 9.6%, hàm ý LNTT 2H26 khoảng 4,371 tỷ đồng — khoảng 15 lần nền 2H25.</w:t>
      </w:r>
    </w:p>
    <w:p>
      <w:pPr>
        <w:spacing w:after="140" w:line="250"/>
        <w:jc w:val="both"/>
      </w:pPr>
      <w:r>
        <w:rPr>
          <w:rFonts w:ascii="Calibri" w:cs="Calibri" w:eastAsia="Calibri" w:hAnsi="Calibri"/>
          <w:b w:val="false"/>
          <w:bCs w:val="false"/>
          <w:color w:val="000000"/>
          <w:sz w:val="17"/>
          <w:szCs w:val="17"/>
        </w:rPr>
        <w:t xml:space="preserve">Các giả định FY26F khác: NII 26,712 tỷ đồng (+0.1% CK), NIM 2.92% (-40bps CK) và chi phí dự phòng 11.1 nghìn tỷ đồng (-2.6% CK); lưu ý tăng trưởng tín dụng 1H26 chỉ 1.5% so với 11.7% dự phóng cả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66,544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77,970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94,434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37,847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45,838</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2026-08-04T07:51:46.139Z</dcterms:created>
  <dcterms:modified xsi:type="dcterms:W3CDTF">2026-08-04T07:51:46.152Z</dcterms:modified>
</cp:coreProperties>
</file>

<file path=docProps/custom.xml><?xml version="1.0" encoding="utf-8"?>
<Properties xmlns="http://schemas.openxmlformats.org/officeDocument/2006/custom-properties" xmlns:vt="http://schemas.openxmlformats.org/officeDocument/2006/docPropsVTypes"/>
</file>