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59" w:lineRule="auto"/>
      </w:pPr>
      <w:r>
        <w:rPr>
          <w:rFonts w:ascii="Noto Sans" w:cs="Noto Sans" w:eastAsia="Noto Sans" w:hAnsi="Noto Sans"/>
          <w:b w:val="false"/>
          <w:bCs w:val="false"/>
          <w:sz w:val="20"/>
          <w:szCs w:val="20"/>
        </w:rPr>
        <w:t xml:space="preserve">Lợi nhuận cao nhất bốn năm, nhưng chuyện lớn nhất của VPBank lại là tăng vốn?</w:t>
      </w:r>
    </w:p>
    <w:p>
      <w:pPr>
        <w:spacing w:after="160" w:line="259" w:lineRule="auto"/>
      </w:pPr>
      <w:r>
        <w:rPr>
          <w:rFonts w:ascii="Noto Sans" w:cs="Noto Sans" w:eastAsia="Noto Sans" w:hAnsi="Noto Sans"/>
          <w:b/>
          <w:bCs/>
          <w:sz w:val="20"/>
          <w:szCs w:val="20"/>
        </w:rPr>
        <w:t xml:space="preserve">[Mở – kể chuyện]</w:t>
      </w:r>
    </w:p>
    <w:p>
      <w:pPr>
        <w:spacing w:after="160" w:line="259" w:lineRule="auto"/>
      </w:pPr>
      <w:r>
        <w:rPr>
          <w:rFonts w:ascii="Noto Sans" w:cs="Noto Sans" w:eastAsia="Noto Sans" w:hAnsi="Noto Sans"/>
          <w:b/>
          <w:bCs/>
          <w:sz w:val="20"/>
          <w:szCs w:val="20"/>
        </w:rPr>
        <w:t xml:space="preserve">Nửa đầu năm 2026, ngành ngân hàng phân hóa rất rõ. Chi phí huy động cao làm mỏng biên lãi. Nợ xấu chưa giảm. Nhiều ngân hàng báo lãi đi lùi.</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Nhưng vẫn có ngân hàng đi ngược. Lần này, người tăng trưởng nhanh nhất không phải một ngân hàng quốc doanh. Đó là một ngân hàng tư nhân: VPBank.</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[Bối cảnh – setup]</w:t>
      </w:r>
    </w:p>
    <w:p>
      <w:pPr>
        <w:spacing w:after="160" w:line="259" w:lineRule="auto"/>
      </w:pPr>
      <w:r>
        <w:rPr>
          <w:rFonts w:ascii="Noto Sans" w:cs="Noto Sans" w:eastAsia="Noto Sans" w:hAnsi="Noto Sans"/>
          <w:b w:val="false"/>
          <w:bCs w:val="false"/>
          <w:sz w:val="20"/>
          <w:szCs w:val="20"/>
        </w:rPr>
        <w:t xml:space="preserve">Việt Nam đặt mục tiêu GDP tăng 10%. Muốn vậy, tín dụng phải tăng mạnh. Mà muốn cho vay nhiều, ngân hàng phải có đủ vốn trước.</w:t>
      </w:r>
    </w:p>
    <w:p>
      <w:pPr>
        <w:spacing w:after="160" w:line="259" w:lineRule="auto"/>
      </w:pPr>
      <w:r>
        <w:rPr>
          <w:rFonts w:ascii="Noto Sans" w:cs="Noto Sans" w:eastAsia="Noto Sans" w:hAnsi="Noto Sans"/>
          <w:b w:val="false"/>
          <w:bCs w:val="false"/>
          <w:sz w:val="20"/>
          <w:szCs w:val="20"/>
        </w:rPr>
        <w:t xml:space="preserve">Vì thế 2026 là năm tăng vốn của cả ngành.</w:t>
      </w:r>
    </w:p>
    <w:p>
      <w:pPr>
        <w:spacing w:after="160" w:line="259" w:lineRule="auto"/>
      </w:pPr>
      <w:r>
        <w:rPr>
          <w:rFonts w:ascii="Noto Sans" w:cs="Noto Sans" w:eastAsia="Noto Sans" w:hAnsi="Noto Sans"/>
          <w:b w:val="false"/>
          <w:bCs w:val="false"/>
          <w:sz w:val="20"/>
          <w:szCs w:val="20"/>
        </w:rPr>
        <w:t xml:space="preserve">Riêng nhóm ngân hàng nhận chuyển giao các ngân hàng yếu kém còn có thêm một lợi thế. Nghị định 69/2025 cho phép nhóm này nới room ngoại lên tối đa 49%, thay vì 30% như thông thường.</w:t>
      </w:r>
    </w:p>
    <w:p>
      <w:pPr>
        <w:spacing w:after="160" w:line="259" w:lineRule="auto"/>
      </w:pPr>
      <w:r>
        <w:rPr>
          <w:rFonts w:ascii="Noto Sans" w:cs="Noto Sans" w:eastAsia="Noto Sans" w:hAnsi="Noto Sans"/>
          <w:b w:val="false"/>
          <w:bCs w:val="false"/>
          <w:sz w:val="20"/>
          <w:szCs w:val="20"/>
        </w:rPr>
        <w:t xml:space="preserve">VPBank nằm ở giao điểm của hai câu chuyện đó.</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1 – kết quả kinh doanh và chất lượng tài sản]</w:t>
      </w:r>
    </w:p>
    <w:p>
      <w:pPr>
        <w:spacing w:after="160" w:line="259" w:lineRule="auto"/>
      </w:pPr>
      <w:r>
        <w:rPr>
          <w:rFonts w:ascii="Noto Sans" w:cs="Noto Sans" w:eastAsia="Noto Sans" w:hAnsi="Noto Sans"/>
          <w:b w:val="false"/>
          <w:bCs w:val="false"/>
          <w:sz w:val="20"/>
          <w:szCs w:val="20"/>
        </w:rPr>
        <w:t xml:space="preserve">Trước hết là con số:</w:t>
      </w:r>
    </w:p>
    <w:p>
      <w:pPr>
        <w:pStyle w:val="ListParagraph"/>
        <w:numPr>
          <w:ilvl w:val="0"/>
          <w:numId w:val="2"/>
        </w:numPr>
        <w:spacing w:after="160" w:line="259" w:lineRule="auto"/>
      </w:pPr>
      <w:r>
        <w:rPr>
          <w:rFonts w:ascii="Noto Sans" w:cs="Noto Sans" w:eastAsia="Noto Sans" w:hAnsi="Noto Sans"/>
          <w:b/>
          <w:bCs/>
          <w:sz w:val="20"/>
          <w:szCs w:val="20"/>
        </w:rPr>
        <w:t xml:space="preserve">Lợi nhuận trước thuế nửa đầu năm đạt gần 18,900 tỷ đồng, tăng 68%. Ngân hàng đã đi được 46% kế hoạch năm. Riêng quý 2 lãi 10,959 tỷ, cao nhất bốn năm. Tổng thu nhập hoạt động 43,400 tỷ, tăng 35.2%.</w:t>
      </w:r>
    </w:p>
    <w:p>
      <w:pPr>
        <w:spacing w:after="160" w:line="259" w:lineRule="auto"/>
      </w:pPr>
      <w:r>
        <w:rPr>
          <w:rFonts w:ascii="Noto Sans" w:cs="Noto Sans" w:eastAsia="Noto Sans" w:hAnsi="Noto Sans"/>
          <w:b w:val="false"/>
          <w:bCs w:val="false"/>
          <w:sz w:val="20"/>
          <w:szCs w:val="20"/>
        </w:rPr>
        <w:t xml:space="preserve">Quy mô cho vay cũng lớn rất nhanh:</w:t>
      </w:r>
    </w:p>
    <w:p>
      <w:pPr>
        <w:pStyle w:val="ListParagraph"/>
        <w:numPr>
          <w:ilvl w:val="0"/>
          <w:numId w:val="2"/>
        </w:numPr>
        <w:spacing w:after="160" w:line="259" w:lineRule="auto"/>
      </w:pPr>
      <w:r>
        <w:rPr>
          <w:rFonts w:ascii="Noto Sans" w:cs="Noto Sans" w:eastAsia="Noto Sans" w:hAnsi="Noto Sans"/>
          <w:b/>
          <w:bCs/>
          <w:sz w:val="20"/>
          <w:szCs w:val="20"/>
        </w:rPr>
        <w:t xml:space="preserve">Tổng tài sản vượt 1.5 triệu tỷ đồng, tăng 19.2% so với đầu năm. Cho vay khách hàng tăng 40.4% so với cùng kỳ, và đã 5 quý liên tiếp tăng trên 30%.</w:t>
      </w:r>
    </w:p>
    <w:p>
      <w:pPr>
        <w:spacing w:after="160" w:line="259" w:lineRule="auto"/>
      </w:pPr>
      <w:r>
        <w:rPr>
          <w:rFonts w:ascii="Noto Sans" w:cs="Noto Sans" w:eastAsia="Noto Sans" w:hAnsi="Noto Sans"/>
          <w:b w:val="false"/>
          <w:bCs w:val="false"/>
          <w:sz w:val="20"/>
          <w:szCs w:val="20"/>
        </w:rPr>
        <w:t xml:space="preserve">Điều đáng chú ý là nợ xấu không tăng theo:</w:t>
      </w:r>
    </w:p>
    <w:p>
      <w:pPr>
        <w:pStyle w:val="ListParagraph"/>
        <w:numPr>
          <w:ilvl w:val="0"/>
          <w:numId w:val="2"/>
        </w:numPr>
        <w:spacing w:after="160" w:line="259" w:lineRule="auto"/>
      </w:pPr>
      <w:r>
        <w:rPr>
          <w:rFonts w:ascii="Noto Sans" w:cs="Noto Sans" w:eastAsia="Noto Sans" w:hAnsi="Noto Sans"/>
          <w:b/>
          <w:bCs/>
          <w:sz w:val="20"/>
          <w:szCs w:val="20"/>
        </w:rPr>
        <w:t xml:space="preserve">Nợ xấu hợp nhất giảm còn 3.34%, từ đỉnh 6.7% giữa năm 2023. Đây là mức thấp nhất kể từ 2020. Chi phí tín dụng cũng giảm còn 2.24% dư nợ, từ gần 6% hồi 2021.</w:t>
      </w:r>
    </w:p>
    <w:p>
      <w:pPr>
        <w:spacing w:after="160" w:line="259" w:lineRule="auto"/>
      </w:pPr>
      <w:r>
        <w:rPr>
          <w:rFonts w:ascii="Noto Sans" w:cs="Noto Sans" w:eastAsia="Noto Sans" w:hAnsi="Noto Sans"/>
          <w:b w:val="false"/>
          <w:bCs w:val="false"/>
          <w:sz w:val="20"/>
          <w:szCs w:val="20"/>
        </w:rPr>
        <w:t xml:space="preserve">Nói cách khác, lợi nhuận tăng mạnh phần lớn vì ngân hàng không còn phải trích lập dự phòng nhiều như trước.</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2 – câu chuyện tăng vốn]</w:t>
      </w:r>
    </w:p>
    <w:p>
      <w:pPr>
        <w:spacing w:after="160" w:line="259" w:lineRule="auto"/>
      </w:pPr>
      <w:r>
        <w:rPr>
          <w:rFonts w:ascii="Noto Sans" w:cs="Noto Sans" w:eastAsia="Noto Sans" w:hAnsi="Noto Sans"/>
          <w:b w:val="false"/>
          <w:bCs w:val="false"/>
          <w:sz w:val="20"/>
          <w:szCs w:val="20"/>
        </w:rPr>
        <w:t xml:space="preserve">Thứ hai là chất xúc tác ngắn hạn: tăng vốn.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VPBank sẽ nâng vốn điều lệ từ 79,339 lên 106,243 tỷ đồng. Đây sẽ là mức cao nhất hệ thống ngân hàng. Kế hoạch có hai bước, đều làm trong quý 3 và quý 4 năm nay.</w:t>
      </w:r>
    </w:p>
    <w:p>
      <w:pPr>
        <w:spacing w:after="160" w:line="259" w:lineRule="auto"/>
      </w:pPr>
      <w:r>
        <w:rPr>
          <w:rFonts w:ascii="Noto Sans" w:cs="Noto Sans" w:eastAsia="Noto Sans" w:hAnsi="Noto Sans"/>
          <w:sz w:val="20"/>
          <w:szCs w:val="20"/>
        </w:rPr>
        <w:t xml:space="preserve"/>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một: chia cổ tức bằng cổ phiếu, tỷ lệ 26.04%, tương đương khoảng 2.06 tỷ cổ phiếu.</w:t>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hai: bán riêng lẻ 624 triệu cổ phiếu cho đối tác nước ngoài. Nếu xong, sở hữu nước ngoài có thể lên khoảng 34%.</w:t>
      </w:r>
    </w:p>
    <w:p>
      <w:pPr>
        <w:spacing w:after="160" w:line="259" w:lineRule="auto"/>
      </w:pPr>
      <w:r>
        <w:rPr>
          <w:rFonts w:ascii="Noto Sans" w:cs="Noto Sans" w:eastAsia="Noto Sans" w:hAnsi="Noto Sans"/>
          <w:b w:val="false"/>
          <w:bCs w:val="false"/>
          <w:sz w:val="20"/>
          <w:szCs w:val="20"/>
        </w:rPr>
        <w:t xml:space="preserve">Điểm đáng chú ý nhất nằm ở đây. VPBank đã nhận chuyển giao GPBank, nên room ngoại có thể được nới tới 49%. Hiện nhà đầu tư ngoại mới nắm 24.3%. Dư địa còn rất rộng.</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[Chốt]</w:t>
      </w:r>
    </w:p>
    <w:p>
      <w:pPr>
        <w:spacing w:after="160" w:line="259" w:lineRule="auto"/>
      </w:pPr>
      <w:r>
        <w:rPr>
          <w:rFonts w:ascii="Noto Sans" w:cs="Noto Sans" w:eastAsia="Noto Sans" w:hAnsi="Noto Sans"/>
          <w:b w:val="false"/>
          <w:bCs w:val="false"/>
          <w:sz w:val="20"/>
          <w:szCs w:val="20"/>
        </w:rPr>
        <w:t xml:space="preserve">Chúng tôi khuyến nghị MUA với VPB, giá mục tiêu 33,800 đồng.</w:t>
      </w:r>
    </w:p>
    <w:p>
      <w:pPr>
        <w:spacing w:after="160" w:line="259" w:lineRule="auto"/>
      </w:pPr>
      <w:r>
        <w:rPr>
          <w:rFonts w:ascii="Noto Sans" w:cs="Noto Sans" w:eastAsia="Noto Sans" w:hAnsi="Noto Sans"/>
          <w:b w:val="false"/>
          <w:bCs w:val="false"/>
          <w:sz w:val="20"/>
          <w:szCs w:val="20"/>
        </w:rPr>
        <w:t xml:space="preserve">Nhưng có ba điều cần nói rõ. Một là nền so sánh nửa cuối 2025 rất cao, nên con số tăng trưởng nửa cuối năm nay sẽ nhỏ lại. Ngân hàng chỉ cần tăng khoảng 16% là đủ kế hoạch. Hai là cổ phiếu sẽ pha loãng khoảng 21% sau khi chia cổ tức. Ba là NIM đang mỏng dần và CASA giảm còn 11.5%.</w:t>
      </w:r>
    </w:p>
    <w:p>
      <w:pPr>
        <w:spacing w:after="160" w:line="259" w:lineRule="auto"/>
      </w:pPr>
      <w:r>
        <w:rPr>
          <w:rFonts w:ascii="Noto Sans" w:cs="Noto Sans" w:eastAsia="Noto Sans" w:hAnsi="Noto Sans"/>
          <w:b w:val="false"/>
          <w:bCs w:val="false"/>
          <w:sz w:val="20"/>
          <w:szCs w:val="20"/>
        </w:rPr>
        <w:t xml:space="preserve">Đây là câu chuyện tăng trưởng cộng thêm chính sách hỗ trợ. Không phải câu chuyện cổ phiếu rẻ.</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HotStock VPB</dc:title>
  <dc:creator>Mirae Asset Securities (Vietnam) — Research</dc:creator>
  <cp:lastModifiedBy>Un-named</cp:lastModifiedBy>
  <cp:revision>1</cp:revision>
  <dcterms:created xsi:type="dcterms:W3CDTF">2026-07-30T07:20:26.801Z</dcterms:created>
  <dcterms:modified xsi:type="dcterms:W3CDTF">2026-07-30T07:20:26.819Z</dcterms:modified>
</cp:coreProperties>
</file>

<file path=docProps/custom.xml><?xml version="1.0" encoding="utf-8"?>
<Properties xmlns="http://schemas.openxmlformats.org/officeDocument/2006/custom-properties" xmlns:vt="http://schemas.openxmlformats.org/officeDocument/2006/docPropsVTypes"/>
</file>