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5,514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30.4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5.5%, from below 4.5%, and FY27F at 4.0% from 3.1%. Reserves reached VND27.2tn at end-2Q26 — 56.7% coverage, up from 50.0% at end-FY25 — after VND7.1tn of 1H26 charges. A further VND3.3tn charge in 2H26 funds write-offs of VND11.0tn, or 34% of the Group 5 balance, leaving coverage at 54.2%.</w:t>
      </w:r>
    </w:p>
    <w:p>
      <w:pPr>
        <w:spacing w:after="40" w:line="250"/>
        <w:jc w:val="left"/>
      </w:pPr>
      <w:r>
        <w:rPr>
          <w:rFonts w:ascii="Calibri" w:cs="Calibri" w:eastAsia="Calibri" w:hAnsi="Calibri"/>
          <w:b/>
          <w:bCs/>
          <w:color w:val="1F3864"/>
          <w:sz w:val="17"/>
          <w:szCs w:val="17"/>
        </w:rPr>
        <w:t xml:space="preserve">FY26F PBT cut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VND24,570bn (-7.9% YoY), and cuts FY26F PBT to VND7,082bn (-7.2% YoY) — 13% below the board-approved plan of VND8,100bn, where we previously sat marginally above it. The implied 2H26 PBT is VND2,946bn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VND10.4tn (-8.9% YoY) and non-interest income of VND5,950bn. We flag that the opex build is unchanged while total operating income has fallen, so CIR now reads 42.8% against the 40.0% we targeted — on 1H26 opex of VND6,233bn, holding 40.0% would need 2H26 costs below the first half.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24,388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27,512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7,082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7,949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13,882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5,514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6,189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10,808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3,004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1,123,604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1,259,770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65,434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71,623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82,431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31,762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34,766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40,012</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5,514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30.4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5.5% (từ dưới 4.5%) và FY27F ở 4.0% (từ 3.1%). Dự phòng đạt 27.2 nghìn tỷ đồng cuối Q2/2026 — bao phủ 56.7%, tăng từ 50.0% cuối 2025 — sau khi trích 7.1 nghìn tỷ đồng trong 1H26 và trích thêm 3.3 nghìn tỷ đồng trong 2H26 đủ để xóa 11.0 nghìn tỷ đồng, tương đương 34% dư nợ nhóm 5, đưa bao phủ về 54.2%.</w:t>
      </w:r>
    </w:p>
    <w:p>
      <w:pPr>
        <w:spacing w:after="40" w:line="250"/>
        <w:jc w:val="left"/>
      </w:pPr>
      <w:r>
        <w:rPr>
          <w:rFonts w:ascii="Calibri" w:cs="Calibri" w:eastAsia="Calibri" w:hAnsi="Calibri"/>
          <w:b/>
          <w:bCs/>
          <w:color w:val="1F3864"/>
          <w:sz w:val="17"/>
          <w:szCs w:val="17"/>
        </w:rPr>
        <w:t xml:space="preserve">Hạ dự phóng LNTT FY26F do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24,570 tỷ đồng (-7.9% CK), kéo LNTT FY26F xuống 7,082 tỷ đồng (-7.2% CK) — thấp hơn 13% so với kế hoạch 8,100 tỷ đồng đã được ĐHĐCĐ thông qua, trong khi bản trước còn nhỉnh hơn kế hoạch. Mức này hàm ý LNTT 2H26 khoảng 2,946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10.4 nghìn tỷ đồng (-8.9% CK) và thu nhập ngoài lãi 5,950 tỷ đồng. Lưu ý cấu phần chi phí hoạt động giữ nguyên trong khi tổng thu nhập hoạt động giảm, nên CIR hiện ở 42.8% thay vì mục tiêu 40.0% — với chi phí 1H26 là 6,233 tỷ đồng, muốn giữ 40.0% thì chi phí 2H26 phải thấp hơn cả nửa đầu năm.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24,388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27,512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7,082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7,949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13,882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5,514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6,189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10,808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2,676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3,004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5,246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1,123,604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1,259,770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65,434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71,623</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82,431</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31,762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34,766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40,012</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2026-08-05T08:21:12.929Z</dcterms:created>
  <dcterms:modified xsi:type="dcterms:W3CDTF">2026-08-05T08:21:12.948Z</dcterms:modified>
</cp:coreProperties>
</file>

<file path=docProps/custom.xml><?xml version="1.0" encoding="utf-8"?>
<Properties xmlns="http://schemas.openxmlformats.org/officeDocument/2006/custom-properties" xmlns:vt="http://schemas.openxmlformats.org/officeDocument/2006/docPropsVTypes"/>
</file>