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Banks made gains</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The VN-Index surrendered a firm morning advance to finish lower, falling 15.3pts (-0.8%) to 1,801.7pts. The benchmark opened at 1,798.9pts (-1.0% DoD) and climbed through the morning to a session high of 1,828.9pts (+0.7% DoD), holding a solid gain into the midday break. Selling pressure took over in the afternoon and pushed the index steadily lower. It touched a session low of 1,787.6pts (-1.6% DoD) and closed at 1,801.7pts (-0.8% DoD). Breadth was decisively negative, with 174 decliners (5 at the floor) against 133 advancers (6 at the ceiling). Support came almost entirely from the banks — TCB, HDB, GEE and LPB were the largest positive contributors.</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Liquidity surged: turnover reached 669.6mn shares (+24.1% DoD) worth VND17,745.6bn (+36.6% DoD).</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Within the VN30, TCB (+2.6% DoD), LPB (+2.2%), HDB (+1.6%), VIB (+1.1%) and MWG (+0.6%) led the advancers, while VIC (-3.2%), VPL (-3.2%), SSB (-1.9%), VHM (-1.7%) and GAS (-1.4%) were the biggest laggards.</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sellers with outflows of VND1,053bn, including VND1437bn in buying (-10% DoD) and VND2,490bn in selling (+62%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VIC (VND97bn), FUESSVFL (VND70bn), TPB (VND43bn), DCM (VND30bn), VPI (VND24bn).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VPB (VND289bn), ACB (VND142bn), VHM (VND131bn), TCB (VND86bn), FRT (VND77bn).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Measuring Vietnam’s semiconductor industry development across five key pillars</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Ho Chi Minh City advances TOD planning alongside three new metro lines</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Top Vietnamese leader meets with US Trade Representative in New York</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