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77,500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4.6%</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6,369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4.6%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22.9</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5.8%, from below 4.5%, and FY27F at 4.0% from 3.1%. On an 8% loan book that is a balance of VND39,237bn, so the ratio improves on 2Q26’s 7.54% through write-offs and a bigger denominator rather than through cures. Reserves reached VND27.2tn at end-2Q26 — 56.7% coverage, up from 50.0% at end-FY25 — after VND7.1tn of 1H26 charges. A further VND3.3tn charge in 2H26 funds write-offs of VND11.6tn, or 36% of the Group 5 balance, leaving coverage at 47.1%.</w:t>
      </w:r>
    </w:p>
    <w:p>
      <w:pPr>
        <w:spacing w:after="40" w:line="250"/>
        <w:jc w:val="left"/>
      </w:pPr>
      <w:r>
        <w:rPr>
          <w:rFonts w:ascii="Calibri" w:cs="Calibri" w:eastAsia="Calibri" w:hAnsi="Calibri"/>
          <w:b/>
          <w:bCs/>
          <w:color w:val="1F3864"/>
          <w:sz w:val="17"/>
          <w:szCs w:val="17"/>
        </w:rPr>
        <w:t xml:space="preserve">FY26F PBT of VND8,180bn on an 8% loan book:</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take FY26F loan growth to 8.0%, from the 2.3% carried before and against the 1.5% delivered in 1H26 — the second half has to add 6.4% for the year to land there, which assumes STB draws on the credit quota it has not used. Gross loans reach VND676,504bn and NII VND26,098bn (-2.2% YoY), taking FY26F PBT to VND8,180bn (+7.2% YoY) — 1.0% above the board-approved plan of VND8,100bn. The implied 2H26 PBT is VND4,044bn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VND10.4tn (-8.9% YoY) and non-interest income of VND5,950bn. CIR steps down from 42.1% in FY26F to 40.0% in FY27F and 38.0% in FY28F; holding that path on the bigger revenue base puts 2H26 costs at VND7,259bn against VND6,233bn in 1H26, +16.5%, so the loan book is not assumed to grow for free. FY27F carries VND1,000bn of specific charge above what write-offs consume and FY28F VND2,000bn, so reserve stock builds rather than merely funding disposals. FY27F NII grows 16.5% as NIM turns — NII/average loans goes from 4.01% to 4.23% — carrying FY27F PBT to VND11,433bn (+40%) and FY28F to VND17,246bn (+51%).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26,098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30,408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34,360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11,433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17,246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6,369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8,902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13,428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4,094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3,150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3,378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4,722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7,123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14.5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1,014,114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1,127,172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1,265,958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66,289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75,191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88,619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29,160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31,756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35,163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39,885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47,007</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6,369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4.6%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22.9</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5.8% (từ dưới 4.5%) và FY27F ở 4.0% (từ 3.1%). Giữ Trên nền dư nợ tăng 8%, mức này tương ứng số dư 39,237 tỷ đồng — tỷ lệ nợ xấu cải thiện từ 7.54% của Q2/2026 nhờ xóa nợ và mẫu số lớn hơn, không phải nhờ nợ được thu hồi. Dự phòng đạt 27.2 nghìn tỷ đồng cuối Q2/2026 — bao phủ 56.7%, tăng từ 50.0% cuối 2025 — sau khi trích 7.1 nghìn tỷ đồng trong 1H26 và trích thêm 3.3 nghìn tỷ đồng trong 2H26 đủ để xóa 11.6 nghìn tỷ đồng, tương đương 36% dư nợ nhóm 5, đưa bao phủ về 47.1%.</w:t>
      </w:r>
    </w:p>
    <w:p>
      <w:pPr>
        <w:spacing w:after="40" w:line="250"/>
        <w:jc w:val="left"/>
      </w:pPr>
      <w:r>
        <w:rPr>
          <w:rFonts w:ascii="Calibri" w:cs="Calibri" w:eastAsia="Calibri" w:hAnsi="Calibri"/>
          <w:b/>
          <w:bCs/>
          <w:color w:val="1F3864"/>
          <w:sz w:val="17"/>
          <w:szCs w:val="17"/>
        </w:rPr>
        <w:t xml:space="preserve">LNTT FY26F 8,180 tỷ đồng trên nền dư nợ tăng 8%:</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nâng giả định tăng trưởng tín dụng FY26F lên 8.0%, từ 2.3% trước đó và so với 1.5% thực hiện trong 1H26 — nửa cuối năm phải tăng thêm 6.4% để cả năm về được mức này, tức giả định STB dùng tới phần room tín dụng chưa sử dụng. Dư nợ đạt 676,504 tỷ đồng và NII 26,098 tỷ đồng (-2.2% CK), đưa LNTT FY26F lên 8,180 tỷ đồng (+7.2% CK) — cao hơn 1.0% so với kế hoạch 8,100 tỷ đồng đã được ĐHĐCĐ thông qua. Mức này hàm ý LNTT 2H26 khoảng 4,044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10.4 nghìn tỷ đồng (-8.9% CK) và thu nhập ngoài lãi 5,950 tỷ đồng. CIR giảm dần từ 42.1% năm FY26F về 40.0% FY27F và 38.0% FY28F; giữ lộ trình này trên nền thu nhập lớn hơn cho chi phí 2H26 ở 7,259 tỷ đồng so với 6,233 tỷ đồng của 1H26, +16.5%, tức tăng trưởng tín dụng không được giả định là miễn phí. FY27F trích thêm 1,000 tỷ đồng và FY28F 2,000 tỷ đồng ngoài phần đủ bù xóa nợ, tức bộ đệm dự phòng được bồi đắp chứ không chỉ tài trợ xử lý nợ. NII FY27F tăng 16.5% khi NIM đảo chiều — NII/dư nợ bình quân từ 4.01% lên 4.23% — đưa LNTT FY27F lên 11,433 tỷ đồng (+40%) và FY28F lên 17,246 tỷ đồng (+51%).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26,098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30,408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34,360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11,433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17,246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6,369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8,902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13,428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4,094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3,150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3,378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4,722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7,123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14.5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1,014,114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1,127,172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1,265,958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66,289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75,191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88,619</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29,160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31,756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35,163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39,885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47,007</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2026-08-06T08:08:47.571Z</dcterms:created>
  <dcterms:modified xsi:type="dcterms:W3CDTF">2026-08-06T08:08:47.582Z</dcterms:modified>
</cp:coreProperties>
</file>

<file path=docProps/custom.xml><?xml version="1.0" encoding="utf-8"?>
<Properties xmlns="http://schemas.openxmlformats.org/officeDocument/2006/custom-properties" xmlns:vt="http://schemas.openxmlformats.org/officeDocument/2006/docPropsVTypes"/>
</file>