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0"/>
      </w:pPr>
      <w:r>
        <w:rPr>
          <w:rFonts w:ascii="Calibri" w:cs="Calibri" w:eastAsia="Calibri" w:hAnsi="Calibri"/>
          <w:b/>
          <w:bCs/>
          <w:caps/>
          <w:color w:val="595959"/>
          <w:sz w:val="16"/>
          <w:szCs w:val="16"/>
        </w:rPr>
        <w:t xml:space="preserve">Mirae Asset Securities (Vietnam)  ·  Research</w:t>
      </w:r>
    </w:p>
    <w:p>
      <w:pPr>
        <w:spacing w:after="60" w:line="400"/>
      </w:pPr>
      <w:r>
        <w:rPr>
          <w:rFonts w:ascii="Calibri" w:cs="Calibri" w:eastAsia="Calibri" w:hAnsi="Calibri"/>
          <w:b/>
          <w:bCs/>
          <w:color w:val="1F3864"/>
          <w:sz w:val="40"/>
          <w:szCs w:val="40"/>
        </w:rPr>
        <w:t xml:space="preserve">2H26 Equity Outlook — Vietnam</w:t>
      </w:r>
    </w:p>
    <w:p>
      <w:pPr>
        <w:pBdr>
          <w:bottom w:val="single" w:color="1F3864" w:sz="8" w:space="8"/>
        </w:pBdr>
        <w:spacing w:after="200" w:line="300"/>
      </w:pPr>
      <w:r>
        <w:rPr>
          <w:rFonts w:ascii="Calibri" w:cs="Calibri" w:eastAsia="Calibri" w:hAnsi="Calibri"/>
          <w:color w:val="000000"/>
          <w:sz w:val="24"/>
          <w:szCs w:val="24"/>
        </w:rPr>
        <w:t xml:space="preserve">STB · FPT  —  2Q26 results review and forecast revision</w:t>
      </w:r>
    </w:p>
    <w:p>
      <w:pPr>
        <w:spacing w:after="300" w:line="260"/>
      </w:pPr>
      <w:r>
        <w:rPr>
          <w:rFonts w:ascii="Calibri" w:cs="Calibri" w:eastAsia="Calibri" w:hAnsi="Calibri"/>
          <w:color w:val="595959"/>
          <w:sz w:val="18"/>
          <w:szCs w:val="18"/>
        </w:rPr>
        <w:t xml:space="preserve">4 August 2026</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1600"/>
        <w:gridCol w:w="2123"/>
        <w:gridCol w:w="2123"/>
        <w:gridCol w:w="2123"/>
        <w:gridCol w:w="2124"/>
      </w:tblGrid>
      <w:tr>
        <w:trPr>
          <w:tblHeader/>
        </w:trPr>
        <w:tc>
          <w:tcPr>
            <w:tcW w:type="dxa" w:w="1600"/>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40" w:before="40" w:line="230"/>
              <w:jc w:val="left"/>
            </w:pPr>
            <w:r>
              <w:rPr>
                <w:rFonts w:ascii="Calibri" w:cs="Calibri" w:eastAsia="Calibri" w:hAnsi="Calibri"/>
                <w:b/>
                <w:bCs/>
                <w:color w:val="FFFFFF"/>
                <w:sz w:val="17"/>
                <w:szCs w:val="17"/>
              </w:rPr>
              <w:t xml:space="preserve">Ticker</w:t>
            </w:r>
          </w:p>
        </w:tc>
        <w:tc>
          <w:tcPr>
            <w:tcW w:type="dxa" w:w="212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40" w:before="40" w:line="230"/>
              <w:jc w:val="right"/>
            </w:pPr>
            <w:r>
              <w:rPr>
                <w:rFonts w:ascii="Calibri" w:cs="Calibri" w:eastAsia="Calibri" w:hAnsi="Calibri"/>
                <w:b/>
                <w:bCs/>
                <w:color w:val="FFFFFF"/>
                <w:sz w:val="17"/>
                <w:szCs w:val="17"/>
              </w:rPr>
              <w:t xml:space="preserve">Rating</w:t>
            </w:r>
          </w:p>
        </w:tc>
        <w:tc>
          <w:tcPr>
            <w:tcW w:type="dxa" w:w="212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40" w:before="40" w:line="230"/>
              <w:jc w:val="right"/>
            </w:pPr>
            <w:r>
              <w:rPr>
                <w:rFonts w:ascii="Calibri" w:cs="Calibri" w:eastAsia="Calibri" w:hAnsi="Calibri"/>
                <w:b/>
                <w:bCs/>
                <w:color w:val="FFFFFF"/>
                <w:sz w:val="17"/>
                <w:szCs w:val="17"/>
              </w:rPr>
              <w:t xml:space="preserve">Target price (VND)</w:t>
            </w:r>
          </w:p>
        </w:tc>
        <w:tc>
          <w:tcPr>
            <w:tcW w:type="dxa" w:w="212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40" w:before="40" w:line="230"/>
              <w:jc w:val="right"/>
            </w:pPr>
            <w:r>
              <w:rPr>
                <w:rFonts w:ascii="Calibri" w:cs="Calibri" w:eastAsia="Calibri" w:hAnsi="Calibri"/>
                <w:b/>
                <w:bCs/>
                <w:color w:val="FFFFFF"/>
                <w:sz w:val="17"/>
                <w:szCs w:val="17"/>
              </w:rPr>
              <w:t xml:space="preserve">Current price (VND)</w:t>
            </w:r>
          </w:p>
        </w:tc>
        <w:tc>
          <w:tcPr>
            <w:tcW w:type="dxa" w:w="2124"/>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40" w:before="40" w:line="230"/>
              <w:jc w:val="right"/>
            </w:pPr>
            <w:r>
              <w:rPr>
                <w:rFonts w:ascii="Calibri" w:cs="Calibri" w:eastAsia="Calibri" w:hAnsi="Calibri"/>
                <w:b/>
                <w:bCs/>
                <w:color w:val="FFFFFF"/>
                <w:sz w:val="17"/>
                <w:szCs w:val="17"/>
              </w:rPr>
              <w:t xml:space="preserve">Expected return</w:t>
            </w:r>
          </w:p>
        </w:tc>
      </w:tr>
      <w:tr>
        <w:trPr>
          <w:tblHeader w:val="false"/>
        </w:trPr>
        <w:tc>
          <w:tcPr>
            <w:tcW w:type="dxa" w:w="16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left"/>
            </w:pPr>
            <w:r>
              <w:rPr>
                <w:rFonts w:ascii="Calibri" w:cs="Calibri" w:eastAsia="Calibri" w:hAnsi="Calibri"/>
                <w:b/>
                <w:bCs/>
                <w:color w:val="000000"/>
                <w:sz w:val="17"/>
                <w:szCs w:val="17"/>
              </w:rPr>
              <w:t xml:space="preserve">STB</w:t>
            </w:r>
          </w:p>
        </w:tc>
        <w:tc>
          <w:tcPr>
            <w:tcW w:type="dxa" w:w="21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right"/>
            </w:pPr>
            <w:r>
              <w:rPr>
                <w:rFonts w:ascii="Calibri" w:cs="Calibri" w:eastAsia="Calibri" w:hAnsi="Calibri"/>
                <w:b/>
                <w:bCs/>
                <w:color w:val="1F3864"/>
                <w:sz w:val="17"/>
                <w:szCs w:val="17"/>
              </w:rPr>
              <w:t xml:space="preserve">HOLD</w:t>
            </w:r>
          </w:p>
        </w:tc>
        <w:tc>
          <w:tcPr>
            <w:tcW w:type="dxa" w:w="21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right"/>
            </w:pPr>
            <w:r>
              <w:rPr>
                <w:rFonts w:ascii="Calibri" w:cs="Calibri" w:eastAsia="Calibri" w:hAnsi="Calibri"/>
                <w:b w:val="false"/>
                <w:bCs w:val="false"/>
                <w:color w:val="000000"/>
                <w:sz w:val="17"/>
                <w:szCs w:val="17"/>
              </w:rPr>
              <w:t xml:space="preserve">81,400</w:t>
            </w:r>
          </w:p>
        </w:tc>
        <w:tc>
          <w:tcPr>
            <w:tcW w:type="dxa" w:w="21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right"/>
            </w:pPr>
            <w:r>
              <w:rPr>
                <w:rFonts w:ascii="Calibri" w:cs="Calibri" w:eastAsia="Calibri" w:hAnsi="Calibri"/>
                <w:b w:val="false"/>
                <w:bCs w:val="false"/>
                <w:color w:val="000000"/>
                <w:sz w:val="17"/>
                <w:szCs w:val="17"/>
              </w:rPr>
              <w:t xml:space="preserve">74,100</w:t>
            </w:r>
          </w:p>
        </w:tc>
        <w:tc>
          <w:tcPr>
            <w:tcW w:type="dxa" w:w="2124"/>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right"/>
            </w:pPr>
            <w:r>
              <w:rPr>
                <w:rFonts w:ascii="Calibri" w:cs="Calibri" w:eastAsia="Calibri" w:hAnsi="Calibri"/>
                <w:b w:val="false"/>
                <w:bCs w:val="false"/>
                <w:color w:val="000000"/>
                <w:sz w:val="17"/>
                <w:szCs w:val="17"/>
              </w:rPr>
              <w:t xml:space="preserve">10%</w:t>
            </w:r>
          </w:p>
        </w:tc>
      </w:tr>
      <w:tr>
        <w:trPr>
          <w:tblHeader w:val="false"/>
        </w:trPr>
        <w:tc>
          <w:tcPr>
            <w:tcW w:type="dxa" w:w="16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left"/>
            </w:pPr>
            <w:r>
              <w:rPr>
                <w:rFonts w:ascii="Calibri" w:cs="Calibri" w:eastAsia="Calibri" w:hAnsi="Calibri"/>
                <w:b/>
                <w:bCs/>
                <w:color w:val="000000"/>
                <w:sz w:val="17"/>
                <w:szCs w:val="17"/>
              </w:rPr>
              <w:t xml:space="preserve">FPT</w:t>
            </w:r>
          </w:p>
        </w:tc>
        <w:tc>
          <w:tcPr>
            <w:tcW w:type="dxa" w:w="21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right"/>
            </w:pPr>
            <w:r>
              <w:rPr>
                <w:rFonts w:ascii="Calibri" w:cs="Calibri" w:eastAsia="Calibri" w:hAnsi="Calibri"/>
                <w:b/>
                <w:bCs/>
                <w:color w:val="1F3864"/>
                <w:sz w:val="17"/>
                <w:szCs w:val="17"/>
              </w:rPr>
              <w:t xml:space="preserve">BUY</w:t>
            </w:r>
          </w:p>
        </w:tc>
        <w:tc>
          <w:tcPr>
            <w:tcW w:type="dxa" w:w="21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right"/>
            </w:pPr>
            <w:r>
              <w:rPr>
                <w:rFonts w:ascii="Calibri" w:cs="Calibri" w:eastAsia="Calibri" w:hAnsi="Calibri"/>
                <w:b w:val="false"/>
                <w:bCs w:val="false"/>
                <w:color w:val="000000"/>
                <w:sz w:val="17"/>
                <w:szCs w:val="17"/>
              </w:rPr>
              <w:t xml:space="preserve">87,950</w:t>
            </w:r>
          </w:p>
        </w:tc>
        <w:tc>
          <w:tcPr>
            <w:tcW w:type="dxa" w:w="212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right"/>
            </w:pPr>
            <w:r>
              <w:rPr>
                <w:rFonts w:ascii="Calibri" w:cs="Calibri" w:eastAsia="Calibri" w:hAnsi="Calibri"/>
                <w:b w:val="false"/>
                <w:bCs w:val="false"/>
                <w:color w:val="000000"/>
                <w:sz w:val="17"/>
                <w:szCs w:val="17"/>
              </w:rPr>
              <w:t xml:space="preserve">71,700</w:t>
            </w:r>
          </w:p>
        </w:tc>
        <w:tc>
          <w:tcPr>
            <w:tcW w:type="dxa" w:w="2124"/>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40" w:before="40" w:line="230"/>
              <w:jc w:val="right"/>
            </w:pPr>
            <w:r>
              <w:rPr>
                <w:rFonts w:ascii="Calibri" w:cs="Calibri" w:eastAsia="Calibri" w:hAnsi="Calibri"/>
                <w:b w:val="false"/>
                <w:bCs w:val="false"/>
                <w:color w:val="000000"/>
                <w:sz w:val="17"/>
                <w:szCs w:val="17"/>
              </w:rPr>
              <w:t xml:space="preserve">22.7%</w:t>
            </w:r>
          </w:p>
        </w:tc>
      </w:tr>
    </w:tbl>
    <w:p>
      <w:pPr>
        <w:spacing w:after="240" w:line="200"/>
      </w:pPr>
      <w:r>
        <w:rPr>
          <w:rFonts w:ascii="Calibri" w:cs="Calibri" w:eastAsia="Calibri" w:hAnsi="Calibri"/>
          <w:i/>
          <w:iCs/>
          <w:color w:val="595959"/>
          <w:sz w:val="14"/>
          <w:szCs w:val="14"/>
        </w:rPr>
        <w:t xml:space="preserve">Prices as at the dates shown in each section. Source: Mirae Asset Vietnam Research</w:t>
      </w:r>
    </w:p>
    <w:p>
      <w:pPr>
        <w:spacing w:after="80" w:line="260"/>
      </w:pPr>
      <w:r>
        <w:rPr>
          <w:rFonts w:ascii="Calibri" w:cs="Calibri" w:eastAsia="Calibri" w:hAnsi="Calibri"/>
          <w:b/>
          <w:bCs/>
          <w:color w:val="1F3864"/>
          <w:sz w:val="20"/>
          <w:szCs w:val="20"/>
        </w:rPr>
        <w:t xml:space="preserve">Contents</w:t>
      </w:r>
    </w:p>
    <w:p>
      <w:pPr>
        <w:spacing w:after="40" w:line="230"/>
      </w:pPr>
      <w:r>
        <w:rPr>
          <w:rFonts w:ascii="Calibri" w:cs="Calibri" w:eastAsia="Calibri" w:hAnsi="Calibri"/>
          <w:b/>
          <w:bCs/>
          <w:sz w:val="17"/>
          <w:szCs w:val="17"/>
        </w:rPr>
        <w:t xml:space="preserve">1.  STB — English   </w:t>
      </w:r>
      <w:r>
        <w:rPr>
          <w:rFonts w:ascii="Calibri" w:cs="Calibri" w:eastAsia="Calibri" w:hAnsi="Calibri"/>
          <w:color w:val="595959"/>
          <w:sz w:val="17"/>
          <w:szCs w:val="17"/>
        </w:rPr>
        <w:t xml:space="preserve">Asset quality deteriorates; provisioning to stay elevated</w:t>
      </w:r>
    </w:p>
    <w:p>
      <w:pPr>
        <w:spacing w:after="40" w:line="230"/>
      </w:pPr>
      <w:r>
        <w:rPr>
          <w:rFonts w:ascii="Calibri" w:cs="Calibri" w:eastAsia="Calibri" w:hAnsi="Calibri"/>
          <w:b/>
          <w:bCs/>
          <w:sz w:val="17"/>
          <w:szCs w:val="17"/>
        </w:rPr>
        <w:t xml:space="preserve">2.  STB — Tiếng Việt   </w:t>
      </w:r>
      <w:r>
        <w:rPr>
          <w:rFonts w:ascii="Calibri" w:cs="Calibri" w:eastAsia="Calibri" w:hAnsi="Calibri"/>
          <w:color w:val="595959"/>
          <w:sz w:val="17"/>
          <w:szCs w:val="17"/>
        </w:rPr>
        <w:t xml:space="preserve">Chất lượng tài sản suy giảm, áp lực dự phòng còn kéo dài</w:t>
      </w:r>
    </w:p>
    <w:p>
      <w:pPr>
        <w:spacing w:after="40" w:line="230"/>
      </w:pPr>
      <w:r>
        <w:rPr>
          <w:rFonts w:ascii="Calibri" w:cs="Calibri" w:eastAsia="Calibri" w:hAnsi="Calibri"/>
          <w:b/>
          <w:bCs/>
          <w:sz w:val="17"/>
          <w:szCs w:val="17"/>
        </w:rPr>
        <w:t xml:space="preserve">3.  FPT — English   </w:t>
      </w:r>
      <w:r>
        <w:rPr>
          <w:rFonts w:ascii="Calibri" w:cs="Calibri" w:eastAsia="Calibri" w:hAnsi="Calibri"/>
          <w:color w:val="595959"/>
          <w:sz w:val="17"/>
          <w:szCs w:val="17"/>
        </w:rPr>
        <w:t xml:space="preserve">Resilient recovery after a two-year-low valuation</w:t>
      </w:r>
    </w:p>
    <w:p>
      <w:pPr>
        <w:spacing w:after="40" w:line="230"/>
      </w:pPr>
      <w:r>
        <w:rPr>
          <w:rFonts w:ascii="Calibri" w:cs="Calibri" w:eastAsia="Calibri" w:hAnsi="Calibri"/>
          <w:b/>
          <w:bCs/>
          <w:sz w:val="17"/>
          <w:szCs w:val="17"/>
        </w:rPr>
        <w:t xml:space="preserve">4.  FPT — Tiếng Việt   </w:t>
      </w:r>
      <w:r>
        <w:rPr>
          <w:rFonts w:ascii="Calibri" w:cs="Calibri" w:eastAsia="Calibri" w:hAnsi="Calibri"/>
          <w:color w:val="595959"/>
          <w:sz w:val="17"/>
          <w:szCs w:val="17"/>
        </w:rPr>
        <w:t xml:space="preserve">Tăng trưởng bền bỉ, định giá hồi phục khi về đáy 2 năm</w:t>
      </w:r>
    </w:p>
    <w:p>
      <w:pPr>
        <w:pageBreakBefore/>
        <w:spacing w:after="60" w:line="200"/>
      </w:pPr>
      <w:r>
        <w:rPr>
          <w:rFonts w:ascii="Calibri" w:cs="Calibri" w:eastAsia="Calibri" w:hAnsi="Calibri"/>
          <w:b/>
          <w:bCs/>
          <w:caps/>
          <w:color w:val="595959"/>
          <w:sz w:val="15"/>
          <w:szCs w:val="15"/>
        </w:rPr>
        <w:t xml:space="preserve">STB  ·  Banks  ·  English</w:t>
      </w:r>
    </w:p>
    <w:p>
      <w:pPr>
        <w:spacing w:after="40" w:line="280"/>
      </w:pPr>
      <w:r>
        <w:rPr>
          <w:rFonts w:ascii="Calibri" w:cs="Calibri" w:eastAsia="Calibri" w:hAnsi="Calibri"/>
          <w:b/>
          <w:bCs/>
          <w:color w:val="1F3864"/>
          <w:sz w:val="28"/>
          <w:szCs w:val="28"/>
        </w:rPr>
        <w:t xml:space="preserve">Saigon Thuong Tin Commercial Joint Stock Bank (STB VN)</w:t>
      </w:r>
    </w:p>
    <w:p>
      <w:pPr>
        <w:pBdr>
          <w:bottom w:val="single" w:color="1F3864" w:sz="6" w:space="6"/>
        </w:pBdr>
        <w:spacing w:after="160" w:line="260"/>
      </w:pPr>
      <w:r>
        <w:rPr>
          <w:rFonts w:ascii="Calibri" w:cs="Calibri" w:eastAsia="Calibri" w:hAnsi="Calibri"/>
          <w:color w:val="000000"/>
          <w:sz w:val="21"/>
          <w:szCs w:val="21"/>
        </w:rPr>
        <w:t xml:space="preserve">Asset quality deteriorates; provisioning to stay elevated</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2825"/>
        <w:gridCol w:w="2221"/>
        <w:gridCol w:w="2825"/>
        <w:gridCol w:w="2221"/>
      </w:tblGrid>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(Maintain)</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HOLD</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NPATMI (26F, VNDbn)</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6,340</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Target price (VND, 12M)</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81,400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Market consensus (26F, VNDbn)</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N/A</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Thị giá (04/08/26)</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74,100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EPS Growth (26F,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6.7</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Expected return</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10%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P/E (26F, x)</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26.5</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Market cap (VNDbn)</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139,694.5</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1M   /   6M   /   12M</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Shares outstanding (mn)</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1,885.2</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Absolute</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-0.7   /   12.1   /   44.7</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Free float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96.7</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Relative</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4.6   /   13.7   /   26.8</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Foreign ownership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11.2</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52-week low (VND)</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45,950</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52-week high (VND)</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76,800</w:t>
            </w:r>
          </w:p>
        </w:tc>
      </w:tr>
    </w:tbl>
    <w:p>
      <w:pPr>
        <w:spacing w:after="200" w:line="260"/>
      </w:pPr>
      <w:r>
        <w:rPr>
          <w:rFonts w:ascii="Calibri" w:cs="Calibri" w:eastAsia="Calibri" w:hAnsi="Calibri"/>
        </w:rPr>
        <w:t xml:space="preserve"/>
      </w:r>
    </w:p>
    <w:p>
      <w:pPr>
        <w:spacing w:after="100" w:line="240"/>
      </w:pPr>
      <w:r>
        <w:rPr>
          <w:rFonts w:ascii="Calibri" w:cs="Calibri" w:eastAsia="Calibri" w:hAnsi="Calibri"/>
          <w:b/>
          <w:bCs/>
          <w:color w:val="1F3864"/>
          <w:sz w:val="20"/>
          <w:szCs w:val="20"/>
        </w:rPr>
        <w:t xml:space="preserve">Investment points</w:t>
      </w:r>
    </w:p>
    <w:p>
      <w:pPr>
        <w:spacing w:after="40" w:line="250"/>
        <w:jc w:val="left"/>
      </w:pPr>
      <w:r>
        <w:rPr>
          <w:rFonts w:ascii="Calibri" w:cs="Calibri" w:eastAsia="Calibri" w:hAnsi="Calibri"/>
          <w:b/>
          <w:bCs/>
          <w:color w:val="1F3864"/>
          <w:sz w:val="17"/>
          <w:szCs w:val="17"/>
        </w:rPr>
        <w:t xml:space="preserve">1H26 results came in below expectations:</w:t>
      </w:r>
    </w:p>
    <w:p>
      <w:pPr>
        <w:spacing w:after="140" w:line="250"/>
        <w:jc w:val="both"/>
      </w:pPr>
      <w:r>
        <w:rPr>
          <w:rFonts w:ascii="Calibri" w:cs="Calibri" w:eastAsia="Calibri" w:hAnsi="Calibri"/>
          <w:b w:val="false"/>
          <w:bCs w:val="false"/>
          <w:color w:val="000000"/>
          <w:sz w:val="17"/>
          <w:szCs w:val="17"/>
        </w:rPr>
        <w:t xml:space="preserve">1H26 PBT reached VND4,136bn (-43.6% YoY), 51% of the VND8,100bn FY26 plan, of which VND2,106bn came in 1Q26. The shortfall stems from NIM compression amid deposit competition and a heavier provisioning charge.</w:t>
      </w:r>
    </w:p>
    <w:p>
      <w:pPr>
        <w:spacing w:after="140" w:line="250"/>
        <w:jc w:val="both"/>
      </w:pPr>
      <w:r>
        <w:rPr>
          <w:rFonts w:ascii="Calibri" w:cs="Calibri" w:eastAsia="Calibri" w:hAnsi="Calibri"/>
          <w:b w:val="false"/>
          <w:bCs w:val="false"/>
          <w:color w:val="000000"/>
          <w:sz w:val="17"/>
          <w:szCs w:val="17"/>
        </w:rPr>
        <w:t xml:space="preserve">The NPL ratio reached 7.54% at end-2Q26, up 1.13%p year-to-date and the highest in the system, against management guidance of approximately 5.6%. Group 3-5 balances rose approximately VND7,800bn to VND47,957bn, of which about 67% (VND32,000bn) is Group 5, while Group 4 more than doubled (+156%).</w:t>
      </w:r>
    </w:p>
    <w:p>
      <w:pPr>
        <w:spacing w:after="140" w:line="250"/>
        <w:jc w:val="both"/>
      </w:pPr>
      <w:r>
        <w:rPr>
          <w:rFonts w:ascii="Calibri" w:cs="Calibri" w:eastAsia="Calibri" w:hAnsi="Calibri"/>
          <w:b w:val="false"/>
          <w:bCs w:val="false"/>
          <w:color w:val="000000"/>
          <w:sz w:val="17"/>
          <w:szCs w:val="17"/>
        </w:rPr>
        <w:t xml:space="preserve">We set FY26F NPL at 5.5%, from below 4.5%, and FY27F at 4.0% from 3.1%. Reserves reached VND27.2tn at end-2Q26 — 56.7% coverage, up from 50.0% at end-FY25 — after VND7.1tn of 1H26 charges. A further VND4.3tn charge in 2H26 funds write-offs of VND11.8tn, or 37% of the Group 5 balance, leaving coverage at 50.9%.</w:t>
      </w:r>
    </w:p>
    <w:p>
      <w:pPr>
        <w:spacing w:after="40" w:line="250"/>
        <w:jc w:val="left"/>
      </w:pPr>
      <w:r>
        <w:rPr>
          <w:rFonts w:ascii="Calibri" w:cs="Calibri" w:eastAsia="Calibri" w:hAnsi="Calibri"/>
          <w:b/>
          <w:bCs/>
          <w:color w:val="1F3864"/>
          <w:sz w:val="17"/>
          <w:szCs w:val="17"/>
        </w:rPr>
        <w:t xml:space="preserve">FY26F PBT lifted on the cost line, against a low 2H25 base:</w:t>
      </w:r>
    </w:p>
    <w:p>
      <w:pPr>
        <w:spacing w:after="140" w:line="250"/>
        <w:jc w:val="both"/>
      </w:pPr>
      <w:r>
        <w:rPr>
          <w:rFonts w:ascii="Calibri" w:cs="Calibri" w:eastAsia="Calibri" w:hAnsi="Calibri"/>
          <w:b w:val="false"/>
          <w:bCs w:val="false"/>
          <w:color w:val="000000"/>
          <w:sz w:val="17"/>
          <w:szCs w:val="17"/>
        </w:rPr>
        <w:t xml:space="preserve">STB recorded VND7,331bn of PBT in 1H25 but only VND297bn in 2H25, as 4Q25 registered a pre-tax loss of VND3,360bn.</w:t>
      </w:r>
    </w:p>
    <w:p>
      <w:pPr>
        <w:spacing w:after="140" w:line="250"/>
        <w:jc w:val="both"/>
      </w:pPr>
      <w:r>
        <w:rPr>
          <w:rFonts w:ascii="Calibri" w:cs="Calibri" w:eastAsia="Calibri" w:hAnsi="Calibri"/>
          <w:b w:val="false"/>
          <w:bCs w:val="false"/>
          <w:color w:val="000000"/>
          <w:sz w:val="17"/>
          <w:szCs w:val="17"/>
        </w:rPr>
        <w:t xml:space="preserve">We set FY26F PBT at VND8,143bn (+6.7% YoY), marginally above the board-approved plan of VND8,100bn. The cost line does the lifting — 1H26 CIR came in at 35.6% against the 42.9% previously carried, and we now assume 40.0% (-0.7%p YoY), 38.0% in FY27F and 35.4% in FY28F — with the balance taken back in provisioning. That implies 2H26 PBT of VND4,007bn, around 13x the 2H25 base.</w:t>
      </w:r>
    </w:p>
    <w:p>
      <w:pPr>
        <w:spacing w:after="140" w:line="250"/>
        <w:jc w:val="both"/>
      </w:pPr>
      <w:r>
        <w:rPr>
          <w:rFonts w:ascii="Calibri" w:cs="Calibri" w:eastAsia="Calibri" w:hAnsi="Calibri"/>
          <w:b w:val="false"/>
          <w:bCs w:val="false"/>
          <w:color w:val="000000"/>
          <w:sz w:val="17"/>
          <w:szCs w:val="17"/>
        </w:rPr>
        <w:t xml:space="preserve">Other FY26F assumptions: NII of VND26,704bn (+0.1% YoY), NIM of 2.92% (-40bps YoY) and provisioning of VND11.4tn (+0.6% YoY); we flag 1H26 loan growth of 1.5% against the 11.7% carried for the full year.</w:t>
      </w:r>
    </w:p>
    <w:p>
      <w:pPr>
        <w:spacing w:after="60" w:line="260"/>
      </w:pPr>
      <w:r>
        <w:rPr>
          <w:rFonts w:ascii="Calibri" w:cs="Calibri" w:eastAsia="Calibri" w:hAnsi="Calibri"/>
        </w:rPr>
        <w:t xml:space="preserve"/>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3200"/>
        <w:gridCol w:w="1148"/>
        <w:gridCol w:w="1148"/>
        <w:gridCol w:w="1148"/>
        <w:gridCol w:w="1148"/>
        <w:gridCol w:w="1148"/>
        <w:gridCol w:w="1153"/>
      </w:tblGrid>
      <w:tr>
        <w:trPr>
          <w:tblHeader/>
        </w:trPr>
        <w:tc>
          <w:tcPr>
            <w:tcW w:type="dxa" w:w="3200"/>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FFFFFF"/>
                <w:sz w:val="16"/>
                <w:szCs w:val="16"/>
              </w:rPr>
              <w:t xml:space="preserve">FY (31/12)</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FY23</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FY24</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FY25</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FY26F</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FY27F</w:t>
            </w:r>
          </w:p>
        </w:tc>
        <w:tc>
          <w:tcPr>
            <w:tcW w:type="dxa" w:w="115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FY28F</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Net interest income (VNDbn)</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22,072</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24,532</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26,681</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26,704</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29,544</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34,079</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Net non-interest inc. (VNDbn)</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4,101</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4,145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5,376</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5,950</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7,382</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8,779</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Operating profit (VNDbn)</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9,595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12,720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7,628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8,143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12,293</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20,064</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Net Profit (VNDbn)</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7,719</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10,087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5,939</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6,340</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9,572</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15,622</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EPS (VND)</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3,747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4,896</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2,883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3,077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4,646</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7,583</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ROE (%)</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18.3</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20.0</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10.3</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9.6</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13.5</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18.7</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P/E (x)</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21.7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16.6</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28.2</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26.5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17.5</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10.7</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P/B (x)</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3.1</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2.2</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1.8</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Total assets (VNDbn)</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674,390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748,095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917,106</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1,014,085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1,127,812</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1,268,793</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Equity (VNDbn)</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45,734</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54,972</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59,867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66,260</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75,832</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91,454</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BVPS (VND)</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22,199</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26,683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29,059</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32,163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36,809</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44,391</w:t>
            </w:r>
          </w:p>
        </w:tc>
      </w:tr>
    </w:tbl>
    <w:p>
      <w:pPr>
        <w:spacing w:after="200" w:line="200"/>
      </w:pPr>
      <w:r>
        <w:rPr>
          <w:rFonts w:ascii="Calibri" w:cs="Calibri" w:eastAsia="Calibri" w:hAnsi="Calibri"/>
          <w:i/>
          <w:iCs/>
          <w:color w:val="595959"/>
          <w:sz w:val="14"/>
          <w:szCs w:val="14"/>
        </w:rPr>
        <w:t xml:space="preserve">Source: Company data, Mirae Asset Vietnam Research</w:t>
      </w:r>
    </w:p>
    <w:p>
      <w:pPr>
        <w:spacing w:after="0" w:line="200"/>
      </w:pPr>
      <w:r>
        <w:rPr>
          <w:rFonts w:ascii="Calibri" w:cs="Calibri" w:eastAsia="Calibri" w:hAnsi="Calibri"/>
          <w:color w:val="595959"/>
          <w:sz w:val="15"/>
          <w:szCs w:val="15"/>
        </w:rPr>
        <w:t xml:space="preserve">Quan Ton, quan.td@miraeasset.com.vn</w:t>
      </w:r>
    </w:p>
    <w:p>
      <w:pPr>
        <w:pageBreakBefore/>
        <w:spacing w:after="60" w:line="200"/>
      </w:pPr>
      <w:r>
        <w:rPr>
          <w:rFonts w:ascii="Calibri" w:cs="Calibri" w:eastAsia="Calibri" w:hAnsi="Calibri"/>
          <w:b/>
          <w:bCs/>
          <w:caps/>
          <w:color w:val="595959"/>
          <w:sz w:val="15"/>
          <w:szCs w:val="15"/>
        </w:rPr>
        <w:t xml:space="preserve">STB  ·  Ngân hàng  ·  Tiếng Việt</w:t>
      </w:r>
    </w:p>
    <w:p>
      <w:pPr>
        <w:spacing w:after="40" w:line="280"/>
      </w:pPr>
      <w:r>
        <w:rPr>
          <w:rFonts w:ascii="Calibri" w:cs="Calibri" w:eastAsia="Calibri" w:hAnsi="Calibri"/>
          <w:b/>
          <w:bCs/>
          <w:color w:val="1F3864"/>
          <w:sz w:val="28"/>
          <w:szCs w:val="28"/>
        </w:rPr>
        <w:t xml:space="preserve">Ngân hàng TMCP Sài Gòn Thương Tín (HOSE: STB)</w:t>
      </w:r>
    </w:p>
    <w:p>
      <w:pPr>
        <w:pBdr>
          <w:bottom w:val="single" w:color="1F3864" w:sz="6" w:space="6"/>
        </w:pBdr>
        <w:spacing w:after="160" w:line="260"/>
      </w:pPr>
      <w:r>
        <w:rPr>
          <w:rFonts w:ascii="Calibri" w:cs="Calibri" w:eastAsia="Calibri" w:hAnsi="Calibri"/>
          <w:color w:val="000000"/>
          <w:sz w:val="21"/>
          <w:szCs w:val="21"/>
        </w:rPr>
        <w:t xml:space="preserve">Chất lượng tài sản suy giảm, áp lực dự phòng còn kéo dài</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2825"/>
        <w:gridCol w:w="2221"/>
        <w:gridCol w:w="2825"/>
        <w:gridCol w:w="2221"/>
      </w:tblGrid>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(Cập nhật)</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NẮM GIỮ</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LNST (26F, tỷ đồng)</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6,340</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Giá mục tiêu (VND, 12T)</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81,400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Kỳ vọng thị trường (25F, tỷ đồng)</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N/A</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Thị giá (04/08/26)</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74,100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Tăng trưởng EPS (25F,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6.7</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Lợi nhuận kỳ vọng</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10%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P/E (26F, x)</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26.5</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Vốn hóa (tỷ đồng)</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139,694.5</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1T   /   6T   /   12T</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SLCP đang lưu hành (triệu cp)</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1,885.2</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Tuyệt đối</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-0.7   /   12.1   /   44.7</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Tỷ lê CP tự do chuyển nhượng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96.7</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Tương đối</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4.6   /   13.7   /   26.8</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Tỷ lệ sở hữu của NĐTNN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11.2</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Thấp nhất 52 tuần (VND)</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45,950</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Cao nhất 52 tuần (VND)</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76,800</w:t>
            </w:r>
          </w:p>
        </w:tc>
      </w:tr>
    </w:tbl>
    <w:p>
      <w:pPr>
        <w:spacing w:after="200" w:line="260"/>
      </w:pPr>
      <w:r>
        <w:rPr>
          <w:rFonts w:ascii="Calibri" w:cs="Calibri" w:eastAsia="Calibri" w:hAnsi="Calibri"/>
        </w:rPr>
        <w:t xml:space="preserve"/>
      </w:r>
    </w:p>
    <w:p>
      <w:pPr>
        <w:spacing w:after="100" w:line="240"/>
      </w:pPr>
      <w:r>
        <w:rPr>
          <w:rFonts w:ascii="Calibri" w:cs="Calibri" w:eastAsia="Calibri" w:hAnsi="Calibri"/>
          <w:b/>
          <w:bCs/>
          <w:color w:val="1F3864"/>
          <w:sz w:val="20"/>
          <w:szCs w:val="20"/>
        </w:rPr>
        <w:t xml:space="preserve">Điểm nhấn đầu tư</w:t>
      </w:r>
    </w:p>
    <w:p>
      <w:pPr>
        <w:spacing w:after="40" w:line="250"/>
        <w:jc w:val="left"/>
      </w:pPr>
      <w:r>
        <w:rPr>
          <w:rFonts w:ascii="Calibri" w:cs="Calibri" w:eastAsia="Calibri" w:hAnsi="Calibri"/>
          <w:b/>
          <w:bCs/>
          <w:color w:val="1F3864"/>
          <w:sz w:val="17"/>
          <w:szCs w:val="17"/>
        </w:rPr>
        <w:t xml:space="preserve">KQKD 1H26 thấp hơn kỳ vọng:</w:t>
      </w:r>
    </w:p>
    <w:p>
      <w:pPr>
        <w:spacing w:after="140" w:line="250"/>
        <w:jc w:val="both"/>
      </w:pPr>
      <w:r>
        <w:rPr>
          <w:rFonts w:ascii="Calibri" w:cs="Calibri" w:eastAsia="Calibri" w:hAnsi="Calibri"/>
          <w:b w:val="false"/>
          <w:bCs w:val="false"/>
          <w:color w:val="000000"/>
          <w:sz w:val="17"/>
          <w:szCs w:val="17"/>
        </w:rPr>
        <w:t xml:space="preserve">LNTT 1H26 đạt 4,136 tỷ đồng (-43.6% CK), hoàn thành 51% kế hoạch năm 8,100 tỷ đồng, trong đó Q1/2026 đóng góp 2,106 tỷ đồng. Mức sụt giảm đến từ NIM thu hẹp trong bối cảnh cạnh tranh huy động gay gắt và chi phí dự phòng tăng đáng kể.</w:t>
      </w:r>
    </w:p>
    <w:p>
      <w:pPr>
        <w:spacing w:after="140" w:line="250"/>
        <w:jc w:val="both"/>
      </w:pPr>
      <w:r>
        <w:rPr>
          <w:rFonts w:ascii="Calibri" w:cs="Calibri" w:eastAsia="Calibri" w:hAnsi="Calibri"/>
          <w:b w:val="false"/>
          <w:bCs w:val="false"/>
          <w:color w:val="000000"/>
          <w:sz w:val="17"/>
          <w:szCs w:val="17"/>
        </w:rPr>
        <w:t xml:space="preserve">Chất lượng tài sản suy giảm vượt mức ban lãnh đạo dự kiến: tỷ lệ nợ xấu đạt 7.54% cuối Q2/2026, tăng 1.13%p so với đầu năm và cao nhất hệ thống, so với ước tính khoảng 5.6% của ban lãnh đạo. Dư nợ nhóm 3-5 tăng khoảng 7,800 tỷ đồng lên 47,957 tỷ đồng, trong đó khoảng 67% (32,000 tỷ đồng) xếp nhóm 5, nợ nhóm 4 tăng hơn gấp đôi (+156%).</w:t>
      </w:r>
    </w:p>
    <w:p>
      <w:pPr>
        <w:spacing w:after="140" w:line="250"/>
        <w:jc w:val="both"/>
      </w:pPr>
      <w:r>
        <w:rPr>
          <w:rFonts w:ascii="Calibri" w:cs="Calibri" w:eastAsia="Calibri" w:hAnsi="Calibri"/>
          <w:b w:val="false"/>
          <w:bCs w:val="false"/>
          <w:color w:val="000000"/>
          <w:sz w:val="17"/>
          <w:szCs w:val="17"/>
        </w:rPr>
        <w:t xml:space="preserve">Chúng tôi đặt giả định nợ xấu FY26F ở 5.5% (từ dưới 4.5%) và FY27F ở 4.0% (từ 3.1%). Dự phòng đạt 27.2 nghìn tỷ đồng cuối Q2/2026 — bao phủ 56.7%, tăng từ 50.0% cuối 2025 — sau khi trích 7.1 nghìn tỷ đồng trong 1H26 và trích thêm 4.3 nghìn tỷ đồng trong 2H26 đủ để xóa 11.8 nghìn tỷ đồng, tương đương 37% dư nợ nhóm 5, đưa bao phủ về 50.9%. Việc giữ bao phủ quanh 50% giới hạn mức cải thiện ở 5.5%.</w:t>
      </w:r>
    </w:p>
    <w:p>
      <w:pPr>
        <w:spacing w:after="40" w:line="250"/>
        <w:jc w:val="left"/>
      </w:pPr>
      <w:r>
        <w:rPr>
          <w:rFonts w:ascii="Calibri" w:cs="Calibri" w:eastAsia="Calibri" w:hAnsi="Calibri"/>
          <w:b/>
          <w:bCs/>
          <w:color w:val="1F3864"/>
          <w:sz w:val="17"/>
          <w:szCs w:val="17"/>
        </w:rPr>
        <w:t xml:space="preserve">Nâng dự phóng LNTT FY26F nhờ chi phí hoạt động, trên nền 2H25 thấp:</w:t>
      </w:r>
    </w:p>
    <w:p>
      <w:pPr>
        <w:spacing w:after="140" w:line="250"/>
        <w:jc w:val="both"/>
      </w:pPr>
      <w:r>
        <w:rPr>
          <w:rFonts w:ascii="Calibri" w:cs="Calibri" w:eastAsia="Calibri" w:hAnsi="Calibri"/>
          <w:b w:val="false"/>
          <w:bCs w:val="false"/>
          <w:color w:val="000000"/>
          <w:sz w:val="17"/>
          <w:szCs w:val="17"/>
        </w:rPr>
        <w:t xml:space="preserve">STB ghi nhận 7,331 tỷ đồng LNTT trong 1H25 nhưng chỉ 297 tỷ đồng trong 2H25, do Q4/2025 lỗ trước thuế 3,360 tỷ đồng.</w:t>
      </w:r>
    </w:p>
    <w:p>
      <w:pPr>
        <w:spacing w:after="140" w:line="250"/>
        <w:jc w:val="both"/>
      </w:pPr>
      <w:r>
        <w:rPr>
          <w:rFonts w:ascii="Calibri" w:cs="Calibri" w:eastAsia="Calibri" w:hAnsi="Calibri"/>
          <w:b w:val="false"/>
          <w:bCs w:val="false"/>
          <w:color w:val="000000"/>
          <w:sz w:val="17"/>
          <w:szCs w:val="17"/>
        </w:rPr>
        <w:t xml:space="preserve">Chúng tôi đặt dự phóng LNTT FY26F ở 8,143 tỷ đồng (+6.7% CK), nhỉnh hơn kế hoạch 8,100 tỷ đồng đã được ĐHĐCĐ thông qua. Chi phí hoạt động là động lực chính — CIR 1H26 chỉ 35.6% so với 42.9% dự phóng trước đây, và chúng tôi điều chỉnh về 40.0% (-0.7%p CK), 38.0% FY27F và 35.4% FY28F — phần chênh còn lại đưa vào chi phí dự phòng. Mức này hàm ý LNTT 2H26 khoảng 4,007 tỷ đồng, tương đương khoảng 13 lần nền 2H25.</w:t>
      </w:r>
    </w:p>
    <w:p>
      <w:pPr>
        <w:spacing w:after="140" w:line="250"/>
        <w:jc w:val="both"/>
      </w:pPr>
      <w:r>
        <w:rPr>
          <w:rFonts w:ascii="Calibri" w:cs="Calibri" w:eastAsia="Calibri" w:hAnsi="Calibri"/>
          <w:b w:val="false"/>
          <w:bCs w:val="false"/>
          <w:color w:val="000000"/>
          <w:sz w:val="17"/>
          <w:szCs w:val="17"/>
        </w:rPr>
        <w:t xml:space="preserve">Các giả định FY26F khác: NII 26,704 tỷ đồng (+0.1% CK), NIM 2.92% (-40bps CK) và chi phí dự phòng 11.4 nghìn tỷ đồng (+0.6% CK); lưu ý tăng trưởng tín dụng 1H26 chỉ 1.5% so với 11.7% dự phóng cả năm.</w:t>
      </w:r>
    </w:p>
    <w:p>
      <w:pPr>
        <w:spacing w:after="60" w:line="260"/>
      </w:pPr>
      <w:r>
        <w:rPr>
          <w:rFonts w:ascii="Calibri" w:cs="Calibri" w:eastAsia="Calibri" w:hAnsi="Calibri"/>
        </w:rPr>
        <w:t xml:space="preserve"/>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3200"/>
        <w:gridCol w:w="1148"/>
        <w:gridCol w:w="1148"/>
        <w:gridCol w:w="1148"/>
        <w:gridCol w:w="1148"/>
        <w:gridCol w:w="1148"/>
        <w:gridCol w:w="1153"/>
      </w:tblGrid>
      <w:tr>
        <w:trPr>
          <w:tblHeader/>
        </w:trPr>
        <w:tc>
          <w:tcPr>
            <w:tcW w:type="dxa" w:w="3200"/>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FFFFFF"/>
                <w:sz w:val="16"/>
                <w:szCs w:val="16"/>
              </w:rPr>
              <w:t xml:space="preserve">FY (31/12)</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FY23</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FY24</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FY25</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FY26F</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FY27F</w:t>
            </w:r>
          </w:p>
        </w:tc>
        <w:tc>
          <w:tcPr>
            <w:tcW w:type="dxa" w:w="115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FY28F</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Thu nhập lãi thuần (tỷ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22,072</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24,532</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26,681</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26,704</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29,544</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34,079</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Thu nhập ngoài lãi (tỷ đồng)</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4,101</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4,145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5,376</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5,950</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7,382</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8,779</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Lợi nhuận hoạt động (tỷ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9,595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12,720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7,628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8,143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12,293</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20,064</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LNST (tỷ đồng)</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7,719</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10,087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5,939</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6,340</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9,572</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15,622</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EPS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3,747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4,896</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2,883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3,077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4,646</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7,583</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ROE (%)</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18.3</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20.0</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10.3</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9.6</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13.5</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18.7</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P/E (x)</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21.7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16.6</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28.2</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26.5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17.5</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10.7</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P/B (x)</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3.1</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2.2</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1.8</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Tổng tài sản (tỷ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674,390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748,095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917,106</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1,014,085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1,127,812</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1,268,793</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VCSH (tỷ đồng)</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45,734</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54,972</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59,867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66,260</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75,832</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91,454</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Giá trị sổ sách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22,199</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26,683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29,059</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32,163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36,809</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44,391</w:t>
            </w:r>
          </w:p>
        </w:tc>
      </w:tr>
    </w:tbl>
    <w:p>
      <w:pPr>
        <w:spacing w:after="200" w:line="200"/>
      </w:pPr>
      <w:r>
        <w:rPr>
          <w:rFonts w:ascii="Calibri" w:cs="Calibri" w:eastAsia="Calibri" w:hAnsi="Calibri"/>
          <w:i/>
          <w:iCs/>
          <w:color w:val="595959"/>
          <w:sz w:val="14"/>
          <w:szCs w:val="14"/>
        </w:rPr>
        <w:t xml:space="preserve">Nguồn: Dữ liệu công ty, Mirae Asset Vietnam Research</w:t>
      </w:r>
    </w:p>
    <w:p>
      <w:pPr>
        <w:spacing w:after="0" w:line="200"/>
      </w:pPr>
      <w:r>
        <w:rPr>
          <w:rFonts w:ascii="Calibri" w:cs="Calibri" w:eastAsia="Calibri" w:hAnsi="Calibri"/>
          <w:color w:val="595959"/>
          <w:sz w:val="15"/>
          <w:szCs w:val="15"/>
        </w:rPr>
        <w:t xml:space="preserve">Tôn Đạt Quân, quan.td@miraeasset.com.vn</w:t>
      </w:r>
    </w:p>
    <w:p>
      <w:pPr>
        <w:pageBreakBefore/>
        <w:spacing w:after="60" w:line="200"/>
      </w:pPr>
      <w:r>
        <w:rPr>
          <w:rFonts w:ascii="Calibri" w:cs="Calibri" w:eastAsia="Calibri" w:hAnsi="Calibri"/>
          <w:b/>
          <w:bCs/>
          <w:caps/>
          <w:color w:val="595959"/>
          <w:sz w:val="15"/>
          <w:szCs w:val="15"/>
        </w:rPr>
        <w:t xml:space="preserve">FPT  ·  IT  ·  English</w:t>
      </w:r>
    </w:p>
    <w:p>
      <w:pPr>
        <w:spacing w:after="40" w:line="280"/>
      </w:pPr>
      <w:r>
        <w:rPr>
          <w:rFonts w:ascii="Calibri" w:cs="Calibri" w:eastAsia="Calibri" w:hAnsi="Calibri"/>
          <w:b/>
          <w:bCs/>
          <w:color w:val="1F3864"/>
          <w:sz w:val="28"/>
          <w:szCs w:val="28"/>
        </w:rPr>
        <w:t xml:space="preserve">FPT Corporation (HOSE: FPT)</w:t>
      </w:r>
    </w:p>
    <w:p>
      <w:pPr>
        <w:pBdr>
          <w:bottom w:val="single" w:color="1F3864" w:sz="6" w:space="6"/>
        </w:pBdr>
        <w:spacing w:after="160" w:line="260"/>
      </w:pPr>
      <w:r>
        <w:rPr>
          <w:rFonts w:ascii="Calibri" w:cs="Calibri" w:eastAsia="Calibri" w:hAnsi="Calibri"/>
          <w:color w:val="000000"/>
          <w:sz w:val="21"/>
          <w:szCs w:val="21"/>
        </w:rPr>
        <w:t xml:space="preserve">Resilient recovery after a two-year-low valuation</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2825"/>
        <w:gridCol w:w="2221"/>
        <w:gridCol w:w="2825"/>
        <w:gridCol w:w="2221"/>
      </w:tblGrid>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(Update)</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BUY</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NPATMI (26F, VNDbn)</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10,944</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Target price (VND, 12M)</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87,950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Market consensus (26F, VNDbn)</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N/A</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Current price (04/08/26)</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71,700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EPS Growth (26F,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15.6</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Expected return</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22.7%</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P/E (26F, x)</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13.7</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Market cap (VNDbn)</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122,141</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1M   /   6M   /   12M</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Shares outstanding (mn)</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1,703.5</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Absolute</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-0.8   /   -29.6   /   -33.0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Free float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89.5</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Relative</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4.5   /   -28.0   /   -50.9</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Foreign ownership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34.8</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52-week low (VND)</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62,800</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52-week high (VND)</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111,600</w:t>
            </w:r>
          </w:p>
        </w:tc>
      </w:tr>
    </w:tbl>
    <w:p>
      <w:pPr>
        <w:spacing w:after="200" w:line="260"/>
      </w:pPr>
      <w:r>
        <w:rPr>
          <w:rFonts w:ascii="Calibri" w:cs="Calibri" w:eastAsia="Calibri" w:hAnsi="Calibri"/>
        </w:rPr>
        <w:t xml:space="preserve"/>
      </w:r>
    </w:p>
    <w:p>
      <w:pPr>
        <w:spacing w:after="100" w:line="240"/>
      </w:pPr>
      <w:r>
        <w:rPr>
          <w:rFonts w:ascii="Calibri" w:cs="Calibri" w:eastAsia="Calibri" w:hAnsi="Calibri"/>
          <w:b/>
          <w:bCs/>
          <w:color w:val="1F3864"/>
          <w:sz w:val="20"/>
          <w:szCs w:val="20"/>
        </w:rPr>
        <w:t xml:space="preserve">Investment points</w:t>
      </w:r>
    </w:p>
    <w:p>
      <w:pPr>
        <w:spacing w:after="140" w:line="250"/>
        <w:jc w:val="both"/>
      </w:pPr>
      <w:r>
        <w:rPr>
          <w:rFonts w:ascii="Calibri" w:cs="Calibri" w:eastAsia="Calibri" w:hAnsi="Calibri"/>
          <w:b w:val="false"/>
          <w:bCs w:val="false"/>
          <w:color w:val="000000"/>
          <w:sz w:val="17"/>
          <w:szCs w:val="17"/>
        </w:rPr>
        <w:t xml:space="preserve">1H26 performance: revenue VND26,269bn (+12.6% YoY) and PBT VND5,714bn (+18.1% YoY), 45%/49% of the FY26 plan, with the group PBT margin widening to 21.8% (1H25: 18.9%). In 2Q26: revenue VND13,789bn, PBT VND2,910bn, NPATMI VND2,568bn (+14% YoY). In 1H26, Technology revenue was VND23,138bn (+15% YoY; 88% of group) and PBT VND3,314bn (+16.9%); Education, investment and others fell 2.1% to VND3,131bn yet contributed 42% of group PBT on a ~77% margin.</w:t>
      </w:r>
    </w:p>
    <w:p>
      <w:pPr>
        <w:spacing w:after="140" w:line="250"/>
        <w:jc w:val="both"/>
      </w:pPr>
      <w:r>
        <w:rPr>
          <w:rFonts w:ascii="Calibri" w:cs="Calibri" w:eastAsia="Calibri" w:hAnsi="Calibri"/>
          <w:b w:val="false"/>
          <w:bCs w:val="false"/>
          <w:color w:val="000000"/>
          <w:sz w:val="17"/>
          <w:szCs w:val="17"/>
        </w:rPr>
        <w:t xml:space="preserve">Public-sector digitalization underpins the domestic pipeline: Domestic IT grew fastest in 6M26 at VND4,236bn (+22.5% YoY), segment PBT to VND308bn (+100.5%) on national digital-transformation wins — multi-year work outside the global IT cycle, though its 7.3% margin dilutes the blend. Signed contract value for Global IT reached VND26,338bn in 1H26, +32.3% YoY, including 14 deals above USD10mn — a book-to-bill of 1.39x against 1.07-1.22x through FY21-25. On that basis we look for Global IT to reaccelerate to +16.7% in FY27F and +17.7% in FY28F, from +14.7% in FY26F and +13.4% in 1H26. The AI demand expansion versus compression of headcount-based pricing: AI and data analytics revenue reached VND1,842bn in 1H26, +54% YoY against +15% for Technology, lifting its share of the segment to 8.0% from 5.9% and contributing a fifth of Technology's growth; ex-AI the segment grew 12.5%. Both AI Factories, in Vietnam and Japan, ran above 90% utilisation and turned profitable in 2Q26, about a year after launch.</w:t>
      </w:r>
    </w:p>
    <w:p>
      <w:pPr>
        <w:spacing w:after="140" w:line="250"/>
        <w:jc w:val="both"/>
      </w:pPr>
      <w:r>
        <w:rPr>
          <w:rFonts w:ascii="Calibri" w:cs="Calibri" w:eastAsia="Calibri" w:hAnsi="Calibri"/>
          <w:b w:val="false"/>
          <w:bCs w:val="false"/>
          <w:color w:val="000000"/>
          <w:sz w:val="17"/>
          <w:szCs w:val="17"/>
        </w:rPr>
        <w:t xml:space="preserve">Projection and valuation: we forecast FY26F NPATMI of VND10,944bn (+15.6% YoY), FY27F VND12,674bn (+15.8%) and FY28F VND14,774bn (+16.6%). Associate income — FPT Telecom (45.66%), equity-accounted from FY26, with FPT Retail (46.5%) , Synnex FPT (48%) and FPT Online (49.5%) — rises to VND2,608bn in FY26F and VND3,449bn by FY28F, and grew 40.8% YoY in 1H26. Operating leverage carries the rest: SG&amp;A falls from 17.6% of sales to 16.5% by FY28F, gross margin unchanged. ROE holds near 27% on net cash of around 60% of equity and a maintained DPS of VND2,000.</w:t>
      </w:r>
    </w:p>
    <w:p>
      <w:pPr>
        <w:spacing w:after="140" w:line="250"/>
        <w:jc w:val="both"/>
      </w:pPr>
      <w:r>
        <w:rPr>
          <w:rFonts w:ascii="Calibri" w:cs="Calibri" w:eastAsia="Calibri" w:hAnsi="Calibri"/>
          <w:b w:val="false"/>
          <w:bCs w:val="false"/>
          <w:color w:val="000000"/>
          <w:sz w:val="17"/>
          <w:szCs w:val="17"/>
        </w:rPr>
        <w:t xml:space="preserve">We raise our DCF (FCFF) target price to VND87,950; the equity risk premium stays at 9% and long-term growth decreased to 1.5% to carry the risk that AI lowers IT services pricing. At VND71,700 the stock trades at 11.2x FY26F earnings against a five-year median above 18x; at the target price, 13.7x FY26F and 11.8x FY27F, implying 23% upside (BUY). Risks: (1) AI-driven price deflation outpacing our long-term growth assumption (2) subdued US and global IT spending and tariff-related contract delays (3) JPY/USD volatility.</w:t>
      </w:r>
    </w:p>
    <w:p>
      <w:pPr>
        <w:spacing w:after="60" w:line="260"/>
      </w:pPr>
      <w:r>
        <w:rPr>
          <w:rFonts w:ascii="Calibri" w:cs="Calibri" w:eastAsia="Calibri" w:hAnsi="Calibri"/>
        </w:rPr>
        <w:t xml:space="preserve"/>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3200"/>
        <w:gridCol w:w="1148"/>
        <w:gridCol w:w="1148"/>
        <w:gridCol w:w="1148"/>
        <w:gridCol w:w="1148"/>
        <w:gridCol w:w="1148"/>
        <w:gridCol w:w="1153"/>
      </w:tblGrid>
      <w:tr>
        <w:trPr>
          <w:tblHeader/>
        </w:trPr>
        <w:tc>
          <w:tcPr>
            <w:tcW w:type="dxa" w:w="3200"/>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FFFFFF"/>
                <w:sz w:val="16"/>
                <w:szCs w:val="16"/>
              </w:rPr>
              <w:t xml:space="preserve">FY (31/12)</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FY23</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FY24</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FY25</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FY26F</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FY27F</w:t>
            </w:r>
          </w:p>
        </w:tc>
        <w:tc>
          <w:tcPr>
            <w:tcW w:type="dxa" w:w="115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FY28F</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Revenue (VNDbn)</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52,618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62,849</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70,208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57,284</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66,048</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76,654</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Operating profit (VNDbn)</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8,452</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10,508</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11,079</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9,807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11,044</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13,053</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PBT (VNDbn)</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9,203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11,070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13,134</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13,070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15,159</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17,671</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NPATMI (VNDbn)</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6,465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7,857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9,464</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10,944</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12,674</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14,774</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EPS (VND)</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4,648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4,877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5,073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6,424</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7,440</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8,673</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ROE (%)</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28.1</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28.6</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27.6</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27.1</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26.5</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P/E (x)</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18.9</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18.0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17.3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13.7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11.8</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10.1</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P/B (x)</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4.3</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3.0</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2.5</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Total assets (VNDbn)</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60,283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72,000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88,090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91,917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102,974</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115,994</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Equity (VNDbn)</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29,883</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35,678</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43,702</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50,217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58,356</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68,507</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BVPS (VND)</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19,665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20,253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21,418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25,116</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29,770</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35,585</w:t>
            </w:r>
          </w:p>
        </w:tc>
      </w:tr>
    </w:tbl>
    <w:p>
      <w:pPr>
        <w:spacing w:after="200" w:line="200"/>
      </w:pPr>
      <w:r>
        <w:rPr>
          <w:rFonts w:ascii="Calibri" w:cs="Calibri" w:eastAsia="Calibri" w:hAnsi="Calibri"/>
          <w:i/>
          <w:iCs/>
          <w:color w:val="595959"/>
          <w:sz w:val="14"/>
          <w:szCs w:val="14"/>
        </w:rPr>
        <w:t xml:space="preserve">Note: FPT Telecom deconsolidated (equity method) from FY26F. Source: Company data, Mirae Asset Vietnam Research</w:t>
      </w:r>
    </w:p>
    <w:p>
      <w:pPr>
        <w:spacing w:after="0" w:line="200"/>
      </w:pPr>
      <w:r>
        <w:rPr>
          <w:rFonts w:ascii="Calibri" w:cs="Calibri" w:eastAsia="Calibri" w:hAnsi="Calibri"/>
          <w:color w:val="595959"/>
          <w:sz w:val="15"/>
          <w:szCs w:val="15"/>
        </w:rPr>
        <w:t xml:space="preserve">Quan Ton, quan.td@miraeasset.com.vn</w:t>
      </w:r>
    </w:p>
    <w:p>
      <w:pPr>
        <w:pageBreakBefore/>
        <w:spacing w:after="60" w:line="200"/>
      </w:pPr>
      <w:r>
        <w:rPr>
          <w:rFonts w:ascii="Calibri" w:cs="Calibri" w:eastAsia="Calibri" w:hAnsi="Calibri"/>
          <w:b/>
          <w:bCs/>
          <w:caps/>
          <w:color w:val="595959"/>
          <w:sz w:val="15"/>
          <w:szCs w:val="15"/>
        </w:rPr>
        <w:t xml:space="preserve">FPT  ·  Công nghệ  ·  Tiếng Việt</w:t>
      </w:r>
    </w:p>
    <w:p>
      <w:pPr>
        <w:spacing w:after="40" w:line="280"/>
      </w:pPr>
      <w:r>
        <w:rPr>
          <w:rFonts w:ascii="Calibri" w:cs="Calibri" w:eastAsia="Calibri" w:hAnsi="Calibri"/>
          <w:b/>
          <w:bCs/>
          <w:color w:val="1F3864"/>
          <w:sz w:val="28"/>
          <w:szCs w:val="28"/>
        </w:rPr>
        <w:t xml:space="preserve">CTCP FPT (HOSE: FPT)</w:t>
      </w:r>
    </w:p>
    <w:p>
      <w:pPr>
        <w:pBdr>
          <w:bottom w:val="single" w:color="1F3864" w:sz="6" w:space="6"/>
        </w:pBdr>
        <w:spacing w:after="160" w:line="260"/>
      </w:pPr>
      <w:r>
        <w:rPr>
          <w:rFonts w:ascii="Calibri" w:cs="Calibri" w:eastAsia="Calibri" w:hAnsi="Calibri"/>
          <w:color w:val="000000"/>
          <w:sz w:val="21"/>
          <w:szCs w:val="21"/>
        </w:rPr>
        <w:t xml:space="preserve">Tăng trưởng bền bỉ, định giá hồi phục khi về đáy 2 năm</w:t>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2825"/>
        <w:gridCol w:w="2221"/>
        <w:gridCol w:w="2825"/>
        <w:gridCol w:w="2221"/>
      </w:tblGrid>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(Cập nhật)</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MUA</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LNST-CĐTS (26F, tỷ đồng)</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10,944</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Giá mục tiêu (VND, 12T)</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87,950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Kỳ vọng thị trường (26F, tỷ đồng)</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N/A</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Thị giá (04/08/26)</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71,700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Tăng trưởng EPS (26F,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15.6</w:t>
            </w:r>
          </w:p>
        </w:tc>
      </w:tr>
      <w:tr>
        <w:tc>
          <w:tcPr>
            <w:tcW w:type="dxa" w:w="2825"/>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pPr>
            <w:r>
              <w:rPr>
                <w:rFonts w:ascii="Calibri" w:cs="Calibri" w:eastAsia="Calibri" w:hAnsi="Calibri"/>
                <w:b/>
                <w:bCs/>
                <w:color w:val="595959"/>
                <w:sz w:val="15"/>
                <w:szCs w:val="15"/>
              </w:rPr>
              <w:t xml:space="preserve">Lợi nhuận kỳ vọng</w:t>
            </w:r>
          </w:p>
        </w:tc>
        <w:tc>
          <w:tcPr>
            <w:tcW w:type="dxa" w:w="2221"/>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00"/>
              <w:jc w:val="right"/>
            </w:pPr>
            <w:r>
              <w:rPr>
                <w:rFonts w:ascii="Calibri" w:cs="Calibri" w:eastAsia="Calibri" w:hAnsi="Calibri"/>
                <w:b/>
                <w:bCs/>
                <w:color w:val="1F3864"/>
                <w:sz w:val="15"/>
                <w:szCs w:val="15"/>
              </w:rPr>
              <w:t xml:space="preserve">22.7%</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P/E (26F, x)</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13.7</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Vốn hóa (tỷ đồng)</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122,141</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1T   /   6T   /   12T</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SLCP đang lưu hành (triệu cp)</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1,703.5</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Tuyệt đối</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-0.8   /   -29.6   /   -33.0</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Tỷ lê CP tự do chuyển nhượng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89.5</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Tương đối</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4.5   /   -28.0   /   -50.9</w:t>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Tỷ lệ sở hữu của NĐTNN (%)</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34.8</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Thấp nhất 52 tuần (VND)</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62,800</w:t>
            </w:r>
          </w:p>
        </w:tc>
      </w:tr>
      <w:tr>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b w:val="false"/>
                <w:bCs w:val="false"/>
                <w:color w:val="595959"/>
                <w:sz w:val="15"/>
                <w:szCs w:val="15"/>
              </w:rPr>
              <w:t xml:space="preserve"/>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b w:val="false"/>
                <w:bCs w:val="false"/>
                <w:color w:val="000000"/>
                <w:sz w:val="15"/>
                <w:szCs w:val="15"/>
              </w:rPr>
              <w:t xml:space="preserve"/>
            </w:r>
          </w:p>
        </w:tc>
        <w:tc>
          <w:tcPr>
            <w:tcW w:type="dxa" w:w="2825"/>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pPr>
            <w:r>
              <w:rPr>
                <w:rFonts w:ascii="Calibri" w:cs="Calibri" w:eastAsia="Calibri" w:hAnsi="Calibri"/>
                <w:color w:val="595959"/>
                <w:sz w:val="15"/>
                <w:szCs w:val="15"/>
              </w:rPr>
              <w:t xml:space="preserve">Cao nhất 52 tuần (VND)</w:t>
            </w:r>
          </w:p>
        </w:tc>
        <w:tc>
          <w:tcPr>
            <w:tcW w:type="dxa" w:w="2221"/>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00"/>
              <w:jc w:val="right"/>
            </w:pPr>
            <w:r>
              <w:rPr>
                <w:rFonts w:ascii="Calibri" w:cs="Calibri" w:eastAsia="Calibri" w:hAnsi="Calibri"/>
                <w:color w:val="000000"/>
                <w:sz w:val="15"/>
                <w:szCs w:val="15"/>
              </w:rPr>
              <w:t xml:space="preserve">111,600</w:t>
            </w:r>
          </w:p>
        </w:tc>
      </w:tr>
    </w:tbl>
    <w:p>
      <w:pPr>
        <w:spacing w:after="200" w:line="260"/>
      </w:pPr>
      <w:r>
        <w:rPr>
          <w:rFonts w:ascii="Calibri" w:cs="Calibri" w:eastAsia="Calibri" w:hAnsi="Calibri"/>
        </w:rPr>
        <w:t xml:space="preserve"/>
      </w:r>
    </w:p>
    <w:p>
      <w:pPr>
        <w:spacing w:after="100" w:line="240"/>
      </w:pPr>
      <w:r>
        <w:rPr>
          <w:rFonts w:ascii="Calibri" w:cs="Calibri" w:eastAsia="Calibri" w:hAnsi="Calibri"/>
          <w:b/>
          <w:bCs/>
          <w:color w:val="1F3864"/>
          <w:sz w:val="20"/>
          <w:szCs w:val="20"/>
        </w:rPr>
        <w:t xml:space="preserve">Điểm nhấn đầu tư</w:t>
      </w:r>
    </w:p>
    <w:p>
      <w:pPr>
        <w:spacing w:after="140" w:line="250"/>
        <w:jc w:val="both"/>
      </w:pPr>
      <w:r>
        <w:rPr>
          <w:rFonts w:ascii="Calibri" w:cs="Calibri" w:eastAsia="Calibri" w:hAnsi="Calibri"/>
          <w:b w:val="false"/>
          <w:bCs w:val="false"/>
          <w:color w:val="000000"/>
          <w:sz w:val="17"/>
          <w:szCs w:val="17"/>
        </w:rPr>
        <w:t xml:space="preserve">KQKD 1H26 vượt tiến độ kế hoạch: doanh thu 26,269 tỷ đồng (+12.6% CK) và LNTT 5,714 tỷ (+18.1% CK), hoàn thành 45%/49% kế hoạch năm; biên LNTT mở rộng lên 21.8%. Q2/2026 đạt doanh thu 13,789 tỷ, LNTT 2,910 tỷ và LNST-CĐTS 2,568 tỷ (+14% CK). Công nghệ đạt 23,138 tỷ (+15% CK; 88% doanh thu tập đoàn) và LNTT 3,314 tỷ (+16.9% CK), biên 14.3%; Giáo dục, đầu tư và khác giảm 2.1% về 3,131 tỷ nhưng vẫn đóng góp 42% LNTT tập đoàn.</w:t>
      </w:r>
    </w:p>
    <w:p>
      <w:pPr>
        <w:spacing w:after="140" w:line="250"/>
        <w:jc w:val="both"/>
      </w:pPr>
      <w:r>
        <w:rPr>
          <w:rFonts w:ascii="Calibri" w:cs="Calibri" w:eastAsia="Calibri" w:hAnsi="Calibri"/>
          <w:b w:val="false"/>
          <w:bCs w:val="false"/>
          <w:color w:val="000000"/>
          <w:sz w:val="17"/>
          <w:szCs w:val="17"/>
        </w:rPr>
        <w:t xml:space="preserve">Số hóa khu vực công là nền tảng của danh mục trong nước: CNTT trong nước tăng nhanh nhất 6T26, đạt 4,236 tỷ đồng (+22.5% CK), LNTT mảng tăng gấp đôi lên 308 tỷ nhờ trúng thầu chương trình chuyển đổi số quốc gia — nguồn việc nhiều năm, ít phụ thuộc chu kỳ CNTT toàn cầu, tuy biên 7.3% làm loãng biên chung. Doanh thu ký mới CNTT nước ngoài đạt 26,338 tỷ trong 1H26 (+32.3% CK), gồm 14 dự án trên 10 triệu USD — tỷ lệ ký mới/doanh thu 1.39 lần so với 1.07-1.22 lần giai đoạn FY21-25. Trên cơ sở đó, dự phóng CNTT nước ngoài tăng lên +16.7% FY27F và +17.7% FY28F, từ +14.7% FY26F và +13.4% của 1H26; Mỹ hạ về +5.9% do cạnh tranh giá thầu. AI  mở rộng nhu cầu: doanh thu Dịch vụ AI &amp; Data Analytics đạt 1,842 tỷ đồng trong 1H26, tăng 54% CK so với +15% của mảng Công nghệ, nâng tỷ trọng lên 8.0% từ 5.9% và đóng góp một phần năm mức tăng của mảng; loại AI, Công nghệ chỉ tăng 12.5%. Hai cụm AI Factory tại Việt Nam và Nhật Bản đạt hiệu suất trên 90% và có lãi từ Q2/2026. Infosys dự báo FY27 chỉ 1.5-3.0%.</w:t>
      </w:r>
    </w:p>
    <w:p>
      <w:pPr>
        <w:spacing w:after="140" w:line="250"/>
        <w:jc w:val="both"/>
      </w:pPr>
      <w:r>
        <w:rPr>
          <w:rFonts w:ascii="Calibri" w:cs="Calibri" w:eastAsia="Calibri" w:hAnsi="Calibri"/>
          <w:b w:val="false"/>
          <w:bCs w:val="false"/>
          <w:color w:val="000000"/>
          <w:sz w:val="17"/>
          <w:szCs w:val="17"/>
        </w:rPr>
        <w:t xml:space="preserve">Dự phóng và định giá: LNST-CĐTS FY26F đạt 10,944 tỷ đồng (+15.6% CK), FY27F 12,674 tỷ (+15.8%) và FY28F 14,774 tỷ (+16.6%). Lợi nhuận từ công ty liên kết — FPT Telecom (45.66%, hạch toán theo phương pháp VCSH từ FY26), FPT Retail (46.5%) , Synnex FPT (48%) và FPT Online (49.5%) — tăng lên 2,608 tỷ FY26F và 3,449 tỷ FY28F, đã tăng 40.8% CK trong 1H26. Phần còn lại đến từ đòn bẩy hoạt động: chi phí bán hàng và quản lý giảm từ 17.6% doanh thu xuống 16.5% vào FY28F, biên gộp giữ nguyên. ROE duy trì quanh 27% nhờ tiền ròng khoảng 60% VCSH và cổ tức 2,000 đồng/cp.</w:t>
      </w:r>
    </w:p>
    <w:p>
      <w:pPr>
        <w:spacing w:after="140" w:line="250"/>
        <w:jc w:val="both"/>
      </w:pPr>
      <w:r>
        <w:rPr>
          <w:rFonts w:ascii="Calibri" w:cs="Calibri" w:eastAsia="Calibri" w:hAnsi="Calibri"/>
          <w:b w:val="false"/>
          <w:bCs w:val="false"/>
          <w:color w:val="000000"/>
          <w:sz w:val="17"/>
          <w:szCs w:val="17"/>
        </w:rPr>
        <w:t xml:space="preserve">Chúng tôi nâng giá mục tiêu DCF (FCFF) lên 87,950 đồng: Tại 71,700 đồng, cổ phiếu giao dịch ở 11.2x P/E FY26F so với trung vị 5 năm trên 18x; tại giá mục tiêu là 13.7x FY26F và 11.8x FY27F, hàm ý tiềm năng tăng 23% (MUA). Rủi ro: (1) giảm phát giá do AI nhanh hơn giả định tăng trưởng dài hạn (2) chi tiêu CNTT tại Mỹ và toàn cầu thấp cùng hợp đồng trì hoãn do thuế quan (3) biến động tỷ giá JPY/USD.</w:t>
      </w:r>
    </w:p>
    <w:p>
      <w:pPr>
        <w:spacing w:after="60" w:line="260"/>
      </w:pPr>
      <w:r>
        <w:rPr>
          <w:rFonts w:ascii="Calibri" w:cs="Calibri" w:eastAsia="Calibri" w:hAnsi="Calibri"/>
        </w:rPr>
        <w:t xml:space="preserve"/>
      </w:r>
    </w:p>
    <w:tbl>
      <w:tblPr>
        <w:tblW w:type="dxa" w:w="10093"/>
        <w:tblBorders>
          <w:top w:val="single" w:color="auto" w:sz="4"/>
          <w:left w:val="single" w:color="auto" w:sz="4"/>
          <w:bottom w:val="single" w:color="auto" w:sz="4"/>
          <w:right w:val="single" w:color="auto" w:sz="4"/>
          <w:insideH w:val="single" w:color="auto" w:sz="4"/>
          <w:insideV w:val="single" w:color="auto" w:sz="4"/>
        </w:tblBorders>
      </w:tblPr>
      <w:tblGrid>
        <w:gridCol w:w="3200"/>
        <w:gridCol w:w="1148"/>
        <w:gridCol w:w="1148"/>
        <w:gridCol w:w="1148"/>
        <w:gridCol w:w="1148"/>
        <w:gridCol w:w="1148"/>
        <w:gridCol w:w="1153"/>
      </w:tblGrid>
      <w:tr>
        <w:trPr>
          <w:tblHeader/>
        </w:trPr>
        <w:tc>
          <w:tcPr>
            <w:tcW w:type="dxa" w:w="3200"/>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bCs/>
                <w:color w:val="FFFFFF"/>
                <w:sz w:val="16"/>
                <w:szCs w:val="16"/>
              </w:rPr>
              <w:t xml:space="preserve">FY (31/12)</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FY23</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FY24</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FY25</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FY26F</w:t>
            </w:r>
          </w:p>
        </w:tc>
        <w:tc>
          <w:tcPr>
            <w:tcW w:type="dxa" w:w="1148"/>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FY27F</w:t>
            </w:r>
          </w:p>
        </w:tc>
        <w:tc>
          <w:tcPr>
            <w:tcW w:type="dxa" w:w="1153"/>
            <w:tcBorders>
              <w:top w:val="single" w:color="1F3864" w:sz="2"/>
              <w:left w:val="none" w:color="FFFFFF" w:sz="0"/>
              <w:bottom w:val="single" w:color="1F3864" w:sz="2"/>
              <w:right w:val="none" w:color="FFFFFF" w:sz="0"/>
            </w:tcBorders>
            <w:shd w:fill="1F3864"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bCs/>
                <w:color w:val="FFFFFF"/>
                <w:sz w:val="16"/>
                <w:szCs w:val="16"/>
              </w:rPr>
              <w:t xml:space="preserve">FY28F</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Doanh thu (tỷ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52,618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62,849</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70,208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57,284</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66,048</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76,654</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LN hoạt động (tỷ đồng)</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8,452</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10,508</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11,079</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9,807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11,044</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13,053</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LNTT (tỷ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9,203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11,070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13,134</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13,070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15,159</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17,671</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LNST-CĐTS (tỷ đồng)</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6,465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7,857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9,464</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10,944</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12,674</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14,774</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EPS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4,648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4,877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5,073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6,424</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7,440</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8,673</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ROE (%)</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28.1</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28.6</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27.6</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27.1</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26.5</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P/E (x)</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18.9</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18.0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17.3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13.7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11.8</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10.1</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P/B (x)</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4.3</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3.5</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3.0</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2.5</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Tổng tài sản (tỷ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60,283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72,000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88,090</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91,917</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102,974</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115,994</w:t>
            </w:r>
          </w:p>
        </w:tc>
      </w:tr>
      <w:tr>
        <w:trPr>
          <w:tblHeader w:val="false"/>
        </w:trPr>
        <w:tc>
          <w:tcPr>
            <w:tcW w:type="dxa" w:w="3200"/>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VCSH (tỷ đồng)</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29,883</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35,678</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43,702</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50,217</w:t>
            </w:r>
          </w:p>
        </w:tc>
        <w:tc>
          <w:tcPr>
            <w:tcW w:type="dxa" w:w="1148"/>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58,356</w:t>
            </w:r>
          </w:p>
        </w:tc>
        <w:tc>
          <w:tcPr>
            <w:tcW w:type="dxa" w:w="1153"/>
            <w:tcBorders>
              <w:top w:val="single" w:color="BFBFBF" w:sz="2"/>
              <w:left w:val="none" w:color="FFFFFF" w:sz="0"/>
              <w:bottom w:val="single" w:color="BFBFBF" w:sz="2"/>
              <w:right w:val="none" w:color="FFFFFF" w:sz="0"/>
            </w:tcBorders>
            <w:shd w:fill="F2F2F2" w:color="auto" w:val="clear"/>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68,507</w:t>
            </w:r>
          </w:p>
        </w:tc>
      </w:tr>
      <w:tr>
        <w:trPr>
          <w:tblHeader w:val="false"/>
        </w:trPr>
        <w:tc>
          <w:tcPr>
            <w:tcW w:type="dxa" w:w="3200"/>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left"/>
            </w:pPr>
            <w:r>
              <w:rPr>
                <w:rFonts w:ascii="Calibri" w:cs="Calibri" w:eastAsia="Calibri" w:hAnsi="Calibri"/>
                <w:b w:val="false"/>
                <w:bCs w:val="false"/>
                <w:color w:val="000000"/>
                <w:sz w:val="16"/>
                <w:szCs w:val="16"/>
              </w:rPr>
              <w:t xml:space="preserve">Giá trị sổ sách (đồng)</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19,665</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20,253</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000000"/>
                <w:sz w:val="16"/>
                <w:szCs w:val="16"/>
              </w:rPr>
              <w:t xml:space="preserve">21,418</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25,116</w:t>
            </w:r>
          </w:p>
        </w:tc>
        <w:tc>
          <w:tcPr>
            <w:tcW w:type="dxa" w:w="1148"/>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29,770</w:t>
            </w:r>
          </w:p>
        </w:tc>
        <w:tc>
          <w:tcPr>
            <w:tcW w:type="dxa" w:w="1153"/>
            <w:tcBorders>
              <w:top w:val="single" w:color="BFBFBF" w:sz="2"/>
              <w:left w:val="none" w:color="FFFFFF" w:sz="0"/>
              <w:bottom w:val="single" w:color="BFBFBF" w:sz="2"/>
              <w:right w:val="none" w:color="FFFFFF" w:sz="0"/>
            </w:tcBorders>
            <w:tcMar>
              <w:top w:type="dxa" w:w="40"/>
              <w:left w:type="dxa" w:w="90"/>
              <w:bottom w:type="dxa" w:w="40"/>
              <w:right w:type="dxa" w:w="90"/>
            </w:tcMar>
            <w:vAlign w:val="center"/>
          </w:tcPr>
          <w:p>
            <w:pPr>
              <w:spacing w:after="20" w:before="20" w:line="220"/>
              <w:jc w:val="right"/>
            </w:pPr>
            <w:r>
              <w:rPr>
                <w:rFonts w:ascii="Calibri" w:cs="Calibri" w:eastAsia="Calibri" w:hAnsi="Calibri"/>
                <w:b w:val="false"/>
                <w:bCs w:val="false"/>
                <w:color w:val="1F3864"/>
                <w:sz w:val="16"/>
                <w:szCs w:val="16"/>
              </w:rPr>
              <w:t xml:space="preserve">35,585</w:t>
            </w:r>
          </w:p>
        </w:tc>
      </w:tr>
    </w:tbl>
    <w:p>
      <w:pPr>
        <w:spacing w:after="200" w:line="200"/>
      </w:pPr>
      <w:r>
        <w:rPr>
          <w:rFonts w:ascii="Calibri" w:cs="Calibri" w:eastAsia="Calibri" w:hAnsi="Calibri"/>
          <w:i/>
          <w:iCs/>
          <w:color w:val="595959"/>
          <w:sz w:val="14"/>
          <w:szCs w:val="14"/>
        </w:rPr>
        <w:t xml:space="preserve">Ghi chú: FPT Telecom hợp nhất theo phương pháp VCSH từ FY26F. Nguồn: Dữ liệu công ty, Mirae Asset Vietnam Research</w:t>
      </w:r>
    </w:p>
    <w:p>
      <w:pPr>
        <w:spacing w:after="0" w:line="200"/>
      </w:pPr>
      <w:r>
        <w:rPr>
          <w:rFonts w:ascii="Calibri" w:cs="Calibri" w:eastAsia="Calibri" w:hAnsi="Calibri"/>
          <w:color w:val="595959"/>
          <w:sz w:val="15"/>
          <w:szCs w:val="15"/>
        </w:rPr>
        <w:t xml:space="preserve">Tôn Đạt Quân, quan.td@miraeasset.com.vn</w:t>
      </w:r>
    </w:p>
    <w:sectPr>
      <w:headerReference w:type="default" r:id="rId7"/>
      <w:footerReference w:type="default" r:id="rId8"/>
      <w:pgSz w:w="11907" w:h="16840" w:orient="portrait"/>
      <w:pgMar w:top="1000" w:right="907" w:bottom="100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00"/>
      <w:jc w:val="center"/>
    </w:pPr>
    <w:r>
      <w:rPr>
        <w:rFonts w:ascii="Calibri" w:cs="Calibri" w:eastAsia="Calibri" w:hAnsi="Calibri"/>
        <w:color w:val="595959"/>
        <w:sz w:val="13"/>
        <w:szCs w:val="13"/>
      </w:rPr>
      <w:t xml:space="preserve">Analyst certification and important disclosures are at the end of this report.   </w:t>
    </w:r>
    <w:r>
      <w:rPr>
        <w:rFonts w:ascii="Calibri" w:cs="Calibri" w:eastAsia="Calibri" w:hAnsi="Calibri"/>
        <w:color w:val="5959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line="200"/>
    </w:pPr>
    <w:r>
      <w:rPr>
        <w:rFonts w:ascii="Calibri" w:cs="Calibri" w:eastAsia="Calibri" w:hAnsi="Calibri"/>
        <w:color w:val="595959"/>
        <w:sz w:val="14"/>
        <w:szCs w:val="14"/>
      </w:rPr>
      <w:t xml:space="preserve">Mirae Asset Securities (Vietnam)  ·  2H26 Equity Outlook  ·  STB · FPT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2H26 Equity Outlook — Vietnam: STB and FPT</dc:title>
  <dc:creator>Mirae Asset Securities (Vietnam) Research</dc:creator>
  <dc:description>2Q26 results review and forecast revision</dc:description>
  <cp:lastModifiedBy>Un-named</cp:lastModifiedBy>
  <cp:revision>1</cp:revision>
  <dcterms:created xsi:type="dcterms:W3CDTF">2026-08-04T09:11:33.256Z</dcterms:created>
  <dcterms:modified xsi:type="dcterms:W3CDTF">2026-08-04T09:11:33.272Z</dcterms:modified>
</cp:coreProperties>
</file>

<file path=docProps/custom.xml><?xml version="1.0" encoding="utf-8"?>
<Properties xmlns="http://schemas.openxmlformats.org/officeDocument/2006/custom-properties" xmlns:vt="http://schemas.openxmlformats.org/officeDocument/2006/docPropsVTypes"/>
</file>