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77,800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72,500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7.3%</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growth at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Thuong Tin Commercial Joint Stock Bank (STB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6,307</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25.4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40" w:line="250"/>
        <w:jc w:val="left"/>
      </w:pPr>
      <w:r>
        <w:rPr>
          <w:rFonts w:ascii="Calibri" w:cs="Calibri" w:eastAsia="Calibri" w:hAnsi="Calibri"/>
          <w:b/>
          <w:bCs/>
          <w:color w:val="1F3864"/>
          <w:sz w:val="17"/>
          <w:szCs w:val="17"/>
        </w:rPr>
        <w:t xml:space="preserve">Asset quality has deteriorated beyond management guidance: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against management guidance of approximately 5.6%. Group 3-5 balances rose approximately VND7,800bn to VND47,957bn, of which about 67% (VND32,000bn) is Group 5, while Group 4 more than doubled (+156%). We set FY26F NPL at 5.5%, from below 4.5%, and FY27F at 4.0% from 3.1%. The clean-up is reserve-funded, not P&amp;L-funded: reserves reached VND27.2tn at end-2Q26 — 56.7% coverage, up from 50.0% at end-FY25 — after VND7.1tn of 1H26 charges and almost no write-offs. A further VND4.0tn charge in 2H26 funds write-offs of VND11.8tn, or 37% of the Group 5 balance, leaving coverage at 51.1%. Holding coverage near 50% is what caps the improvement at 5.5%, and it needs 2H26 NPL formation at roughly a quarter of the 1H26 pace.</w:t>
      </w:r>
    </w:p>
    <w:p>
      <w:pPr>
        <w:spacing w:after="40" w:line="250"/>
        <w:jc w:val="left"/>
      </w:pPr>
      <w:r>
        <w:rPr>
          <w:rFonts w:ascii="Calibri" w:cs="Calibri" w:eastAsia="Calibri" w:hAnsi="Calibri"/>
          <w:b/>
          <w:bCs/>
          <w:color w:val="1F3864"/>
          <w:sz w:val="17"/>
          <w:szCs w:val="17"/>
        </w:rPr>
        <w:t xml:space="preserve">FY26F PBT lifted on the cost line, against a low 2H25 base:</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 We set FY26F PBT at VND8,100bn (+6.2% YoY), in line with the board-approved plan. The cost line does the lifting — 1H26 CIR came in at 35.6% against the 42.9% previously carried, and we now assume 40.0% (-0.7%p YoY), 38.0% in FY27F and 36.0% in FY28F — with the balance taken back in provisioning. That implies 2H26 PBT of VND3,964bn, around 13x the 2H25 base. Other FY26F assumptions: NII of VND26,712bn (+0.1% YoY), NIM of 2.92% (-40bps YoY) and provisioning of VND11.5tn (+1.0% YoY); we flag 1H26 loan growth of 1.5% against the 11.7% carried for the full year. Separately, STB's seizure of 507 land-use right certificates at LDG's Viva City against VND350bn of overdue principal is immaterial in size but shows the collateral channel the write-off programme depends on.</w:t>
      </w:r>
    </w:p>
    <w:p>
      <w:pPr>
        <w:spacing w:after="140" w:line="250"/>
        <w:jc w:val="both"/>
      </w:pPr>
      <w:r>
        <w:rPr>
          <w:rFonts w:ascii="Calibri" w:cs="Calibri" w:eastAsia="Calibri" w:hAnsi="Calibri"/>
          <w:b w:val="false"/>
          <w:bCs w:val="false"/>
          <w:color w:val="000000"/>
          <w:sz w:val="17"/>
          <w:szCs w:val="17"/>
        </w:rPr>
        <w:t xml:space="preserve">Risks: (1) continued NPL formation requiring provisioning above our FY26F estimate (2) prolonged deposit competition sustaining NIM compression (3) slower-than-expected disposal of recovered collateral.</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26,712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29,560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34,095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7,382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14,676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21,145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11,427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16,463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5,546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7,991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19.2</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1,014,277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1,129,957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1,271,622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77,653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94,117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32,146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37,693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45,684</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Thương Tín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6,307</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25.4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 Chúng tôi đặt giả định nợ xấu FY26F ở 5.5% (từ dưới 4.5%) và FY27F ở 4.0% (từ 3.1%). Quá trình xử lý tài trợ từ nguồn dự phòng đã trích, không phải từ lợi nhuận: dự phòng đạt 27.2 nghìn tỷ đồng cuối Q2/2026 — bao phủ 56.7%, tăng từ 50.0% cuối 2025 — sau khi trích 7.1 nghìn tỷ đồng trong 1H26 và gần như chưa xóa nợ. Trích thêm 4.0 nghìn tỷ đồng trong 2H26 đủ để xóa 11.8 nghìn tỷ đồng, tương đương 37% dư nợ nhóm 5, đưa bao phủ về 51.1%. Việc giữ bao phủ quanh 50% giới hạn mức cải thiện ở 5.5%, đồng thời cần nợ xấu phát sinh mới 2H26 chỉ bằng khoảng một phần tư nhịp 1H26.</w:t>
      </w:r>
    </w:p>
    <w:p>
      <w:pPr>
        <w:spacing w:after="40" w:line="250"/>
        <w:jc w:val="left"/>
      </w:pPr>
      <w:r>
        <w:rPr>
          <w:rFonts w:ascii="Calibri" w:cs="Calibri" w:eastAsia="Calibri" w:hAnsi="Calibri"/>
          <w:b/>
          <w:bCs/>
          <w:color w:val="1F3864"/>
          <w:sz w:val="17"/>
          <w:szCs w:val="17"/>
        </w:rPr>
        <w:t xml:space="preserve">Nâng dự phóng LNTT FY26F nhờ chi phí hoạt động, trên nền 2H25 thấp:</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 Chúng tôi đặt dự phóng LNTT FY26F ở 8,100 tỷ đồng (+6.2% CK), ngang kế hoạch đã được ĐHĐCĐ thông qua. Chi phí hoạt động là động lực chính — CIR 1H26 chỉ 35.6% so với 42.9% dự phóng trước đây, và chúng tôi điều chỉnh về 40.0% (-0.7%p CK), 38.0% FY27F và 36.0% FY28F — phần chênh còn lại đưa vào chi phí dự phòng. Mức này hàm ý LNTT 2H26 khoảng 3,964 tỷ đồng, tương đương khoảng 13 lần nền 2H25.</w:t>
      </w:r>
    </w:p>
    <w:p>
      <w:pPr>
        <w:spacing w:after="140" w:line="250"/>
        <w:jc w:val="both"/>
      </w:pPr>
      <w:r>
        <w:rPr>
          <w:rFonts w:ascii="Calibri" w:cs="Calibri" w:eastAsia="Calibri" w:hAnsi="Calibri"/>
          <w:b w:val="false"/>
          <w:bCs w:val="false"/>
          <w:color w:val="000000"/>
          <w:sz w:val="17"/>
          <w:szCs w:val="17"/>
        </w:rPr>
        <w:t xml:space="preserve">Các giả định FY26F khác: NII 26,712 tỷ đồng (+0.1% CK), NIM 2.92% (-40bps CK) và chi phí dự phòng 11.5 nghìn tỷ đồng (+1.0% CK); lưu ý tăng trưởng tín dụng 1H26 chỉ 1.5% so với 11.7% dự phóng cả năm.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140" w:line="250"/>
        <w:jc w:val="both"/>
      </w:pPr>
      <w:r>
        <w:rPr>
          <w:rFonts w:ascii="Calibri" w:cs="Calibri" w:eastAsia="Calibri" w:hAnsi="Calibri"/>
          <w:b w:val="false"/>
          <w:bCs w:val="false"/>
          <w:color w:val="000000"/>
          <w:sz w:val="17"/>
          <w:szCs w:val="17"/>
        </w:rPr>
        <w:t xml:space="preserve">Rủi ro: (1) nợ xấu tiếp tục phát sinh khiến chi phí dự phòng vượt dự phóng FY26F (2) cạnh tranh huy động kéo dài làm NIM tiếp tục thu hẹp (3) tiến độ xử lý tài sản đã thu hồi chậm hơn dự kiến.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26,712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29,560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34,095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7,382</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14,676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21,145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11,427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16,463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5,546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7,991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19.2</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1,014,277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1,129,957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1,271,622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66,227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77,653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94,117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32,146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37,693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45,684</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growth at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tracking ahead of plan: revenue VND26,269bn (+12.6% YoY) and PBT VND5,714bn (+18.1% YoY), 45%/49% of the FY26 plan, with the group PBT margin widening to 21.8%. In 2Q26: revenue VND13,789bn, PBT VND2,910bn, NPATMI VND2,568bn (+14% YoY). Technology revenue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doubling to VND308bn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 with the US book cut to +5.9%.</w:t>
      </w:r>
    </w:p>
    <w:p>
      <w:pPr>
        <w:spacing w:after="140" w:line="250"/>
        <w:jc w:val="both"/>
      </w:pPr>
      <w:r>
        <w:rPr>
          <w:rFonts w:ascii="Calibri" w:cs="Calibri" w:eastAsia="Calibri" w:hAnsi="Calibri"/>
          <w:b w:val="false"/>
          <w:bCs w:val="false"/>
          <w:color w:val="000000"/>
          <w:sz w:val="17"/>
          <w:szCs w:val="17"/>
        </w:rPr>
        <w:t xml:space="preserve">The AI debate — demand expansion versus compression of headcount-based pricing — is answered in FPT's own numbers.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 Infosys, for contrast, guides FY27 to 1.5-3.0%.</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Synnex FPT and FPT Online — rises to VND2,608bn in FY26F and VND3,449bn by FY28F, and grew 40.8% YoY in 1H26. Operating leverage carries the rest: SG&amp;A falls from 17.6% of sales to 16.5% by FY28F, gross margin unchanged. ROE holds near 27% on net cash of around 60% of equity and a maintained DPS of VND2,000. We raise our DCF (FCFF) target price to VND87,950 from VND78,750, cutting the assumed cost of debt to 9.0% from 11.5% — FPT's realised funding cost in 1H26 was 4.0% — which lowers WACC to 11.4%; the equity risk premium stays at 8.97% and long-term growth at 1.5% to carry the risk that AI lowers IT services pricing. At VND71,700 the stock trades at 11.2x FY26F earnings against a five-year median above 18x; at the target price, 13.7x FY26F and 11.8x FY27F, implying 23% upside (BUY). AI newsflow remains supportive: expanded partnerships with Microsoft and Intel, AI programmes with CPF, SCG, UOB, Sembcorp, SATS and ComfortDelGro, and data-intermediary certification with the National Data Centre.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equity-accounted from FY26F, consolidated in FY23-25. * against a restated FY25 revenue of VND50,607bn the change is +13.2%; NPATMI is unaffected by the change of basis.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kế hoạch: doanh thu 26,269 tỷ đồng (+12.6% CK) và LNTT 5,714 tỷ (+18.1% CK), đạt 45%/49% kế hoạch năm, biên LNTT lên 21.8%. Q2/2026: doanh thu 13,789 tỷ, LNTT 2,910 tỷ, LNST-CĐTS 2,568 tỷ (+14% CK). Công nghệ đạt 23,138 tỷ (+15% CK; 88% doanh thu tập đoàn) và LNTT 3,314 tỷ (+16.9%);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danh mục trong nước: CNTT trong nước tăng nhanh nhất 6T26, đạt 4,236 tỷ đồng (+22.5% CK), LNTT mảng tăng gấp đôi lên 308 tỷ nhờ trúng thầu chuyển đổi số quốc gia — nguồn việc nhiều năm, ngoài chu kỳ CNTT toàn cầu, tuy biên 7.3% làm loãng biên. Doanh thu ký mới CNTT nước ngoài đạt 26,338 tỷ trong 1H26 (+32.3% CK), gồm 14 dự án trên 10 triệu USD — tỷ lệ ký mới/doanh thu 1.39 lần so với 1.07-1.22 lần FY21-25. Trên cơ sở đó, dự phóng CNTT nước ngoài tăng lên +16.7% FY27F và +17.7% FY28F, từ +14.7% FY26F và +13.4% của 1H26; Mỹ hạ về +5.9%.</w:t>
      </w:r>
    </w:p>
    <w:p>
      <w:pPr>
        <w:spacing w:after="140" w:line="250"/>
        <w:jc w:val="both"/>
      </w:pPr>
      <w:r>
        <w:rPr>
          <w:rFonts w:ascii="Calibri" w:cs="Calibri" w:eastAsia="Calibri" w:hAnsi="Calibri"/>
          <w:b w:val="false"/>
          <w:bCs w:val="false"/>
          <w:color w:val="000000"/>
          <w:sz w:val="17"/>
          <w:szCs w:val="17"/>
        </w:rPr>
        <w:t xml:space="preserve">Tranh luận về AI — mở rộng nhu cầu hay thu hẹp định giá theo nhân sự — được trả lời bằng số liệu của chính FPT: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Q2/2026. Infosys dự báo FY27 chỉ 1.5-3.0%.</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công ty liên kết — FPT Telecom (45.66%, phương pháp VCSH từ FY26), FPT Retail, Synnex FPT, FPT Online — lên 2,608 tỷ FY26F và 3,449 tỷ FY28F, đã tăng 40.8% CK trong 1H26. Đòn bẩy hoạt động: chi phí bán hàng và quản lý giảm từ 17.6% doanh thu xuống 16.5% vào FY28F, biên gộp giữ nguyên. ROE quanh 27% nhờ tiền ròng khoảng 60% VCSH và cổ tức 2,000 đồng/cp. Nâng giá mục tiêu DCF (FCFF) lên 87,950 đồng từ 78,750 đồng, hạ chi phí nợ vay về 9.0% từ 11.5% (thực tế 1H26: 4.0%), đưa WACC xuống 11.4%; phần bù rủi ro vốn cổ phần giữ 8.97% và tăng trưởng dài hạn 1.5%, phản ánh rủi ro AI làm giảm giá dịch vụ CNTT. Tại 71,700 đồng, cổ phiếu ở 11.2x P/E FY26F so với trung vị 5 năm trên 18x; tại giá mục tiêu là 13.7x FY26F và 11.8x FY27F, tiềm năng tăng 23% (MUA). Thông tin AI vẫn tích cực: mở rộng hợp tác với Microsoft tại ASEAN, Nhật Bản, Hàn Quốc và Intel, cùng các tập đoàn CPF, SCG, UOB, Sembcorp, SATS, ComfortDelGro. Rủi ro: (1) giảm phát giá do AI nhanh hơn giả định tăng trưởng dài hạn (2) chi tiêu CNTT tại Mỹ và toàn cầu thấp,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hợp nhất toàn bộ giai đoạn FY23-25. * so với doanh thu FY25 tính lại 50,607 tỷ đồng, mức tăng là +13.2%; LNST-CĐTS không đổi khi chuyển phương pháp.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2026-08-04T08:01:32.297Z</dcterms:created>
  <dcterms:modified xsi:type="dcterms:W3CDTF">2026-08-04T08:01:32.298Z</dcterms:modified>
</cp:coreProperties>
</file>

<file path=docProps/custom.xml><?xml version="1.0" encoding="utf-8"?>
<Properties xmlns="http://schemas.openxmlformats.org/officeDocument/2006/custom-properties" xmlns:vt="http://schemas.openxmlformats.org/officeDocument/2006/docPropsVTypes"/>
</file>