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26.6</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Holding the ratio at 5.5% on the smaller loan book would have required net NPL recoveries in 2H26; 5.8% keeps the absolute balance at VND37,157bn and implied net formation just positive. Reserves reached VND27.2tn at end-2Q26 — 56.7% coverage, up from 50.0% at end-FY25 — after VND7.1tn of 1H26 charges. A further VND3.1tn charge in 2H26 funds write-offs of VND11.0tn, or 34% of the Group 5 balance, leaving coverage at 50.9%.</w:t>
      </w:r>
    </w:p>
    <w:p>
      <w:pPr>
        <w:spacing w:after="40" w:line="250"/>
        <w:jc w:val="left"/>
      </w:pPr>
      <w:r>
        <w:rPr>
          <w:rFonts w:ascii="Calibri" w:cs="Calibri" w:eastAsia="Calibri" w:hAnsi="Calibri"/>
          <w:b/>
          <w:bCs/>
          <w:color w:val="1F3864"/>
          <w:sz w:val="17"/>
          <w:szCs w:val="17"/>
        </w:rPr>
        <w:t xml:space="preserve">FY26F PBT of VND7,461bn on the loan growth reset:</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now carry FY26F loan growth of 2.3%, against the 11.7% previously assumed and the 1.5% delivered in 1H26. That takes gross loans to VND640,643bn and NII to VND24,531bn (-8.1% YoY), and FY26F PBT to VND7,461bn (-2.2% YoY) — 7.9% below the board-approved plan of VND8,100bn, where we previously sat marginally above it. The implied 2H26 PBT is VND3,324bn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VND10.2tn (-10.4% YoY) and non-interest income of VND5,950bn. CIR steps down from 42.1% in FY26F to 40.0% in FY27F and 38.0% in FY28F; on 1H26 opex of VND6,233bn that puts 2H26 costs at VND6,585bn, +5.6% on the first half, so no cost reduction is assumed. FY27F and FY28F each carry VND1,000bn of specific charge above what write-offs consume, so reserve stock builds rather than merely funding disposals. FY27F NII grows 9.9% as NIM turns — NII/average loans goes from 3.87% to 3.96% — carrying FY27F PBT to VND9,872bn (+32%) and FY28F to VND16,271bn (+65%).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7,686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12,668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3,731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6,149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20.1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1,125,396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1,263,423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73,415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86,084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31,905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35,636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41,785</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26.6</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5.5% trên nền dư nợ đã thu hẹp sẽ đòi hỏi nợ xấu phải được thu hồi ròng trong 2H26; mức 5.8% giữ số dư tuyệt đối ở 37,157 tỷ đồng và nợ xấu phát sinh mới vẫn dương. Dự phòng đạt 27.2 nghìn tỷ đồng cuối Q2/2026 — bao phủ 56.7%, tăng từ 50.0% cuối 2025 — sau khi trích 7.1 nghìn tỷ đồng trong 1H26 và trích thêm 3.1 nghìn tỷ đồng trong 2H26 đủ để xóa 11.0 nghìn tỷ đồng, tương đương 34% dư nợ nhóm 5, đưa bao phủ về 50.9%.</w:t>
      </w:r>
    </w:p>
    <w:p>
      <w:pPr>
        <w:spacing w:after="40" w:line="250"/>
        <w:jc w:val="left"/>
      </w:pPr>
      <w:r>
        <w:rPr>
          <w:rFonts w:ascii="Calibri" w:cs="Calibri" w:eastAsia="Calibri" w:hAnsi="Calibri"/>
          <w:b/>
          <w:bCs/>
          <w:color w:val="1F3864"/>
          <w:sz w:val="17"/>
          <w:szCs w:val="17"/>
        </w:rPr>
        <w:t xml:space="preserve">Đặt LNTT FY26F ở 7,500 tỷ đồng sau khi điều chỉnh tăng trưởng tín dụng:</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640,643 tỷ đồng và NII còn 24,531 tỷ đồng (-8.1% CK), kéo LNTT FY26F xuống 7,461 tỷ đồng (-2.2% CK) — thấp hơn 8% so với kế hoạch 8,100 tỷ đồng đã được ĐHĐCĐ thông qua, trong khi bản trước còn nhỉnh hơn kế hoạch. Mức này hàm ý LNTT 2H26 khoảng 3,324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10.2 nghìn tỷ đồng (-10.4% CK) và thu nhập ngoài lãi 5,950 tỷ đồng. CIR giảm dần từ 42.1% năm FY26F về 40.0% FY27F và 38.0% FY28F; với chi phí 1H26 là 6,233 tỷ đồng, mức này cho chi phí 2H26 ở 6,585 tỷ đồng, +5.6% so với nửa đầu năm, tức không giả định cắt giảm chi phí. FY27F và FY28F mỗi năm trích thêm 1,000 tỷ đồng ngoài phần đủ bù xóa nợ, tức bộ đệm dự phòng được bồi đắp chứ không chỉ tài trợ xử lý nợ. NII FY27F tăng 9.9% khi NIM đảo chiều — NII/dư nợ bình quân từ 3.87% lên 3.96% — đưa LNTT FY27F lên 9,872 tỷ đồng (+32%) và FY28F lên 16,271 tỷ đồng (+65%).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7,686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12,668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3,731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6,149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20.1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1,125,396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1,263,423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73,415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86,084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31,905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35,636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41,785</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2026-08-05T10:36:30.500Z</dcterms:created>
  <dcterms:modified xsi:type="dcterms:W3CDTF">2026-08-05T10:36:30.511Z</dcterms:modified>
</cp:coreProperties>
</file>

<file path=docProps/custom.xml><?xml version="1.0" encoding="utf-8"?>
<Properties xmlns="http://schemas.openxmlformats.org/officeDocument/2006/custom-properties" xmlns:vt="http://schemas.openxmlformats.org/officeDocument/2006/docPropsVTypes"/>
</file>