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3A5F"/>
          <w:sz w:val="32"/>
        </w:rPr>
        <w:t>VRE 1Q2026 — Key Insights, Sourced and Expanded</w:t>
      </w:r>
    </w:p>
    <w:p>
      <w:pPr>
        <w:spacing w:after="120"/>
      </w:pPr>
      <w:r>
        <w:rPr>
          <w:b/>
        </w:rPr>
        <w:t>Mirae Asset Securities (Vietnam) JSC · Commercial Real Estate · Analyst: Quan Ton · 30 June 2026</w:t>
      </w:r>
    </w:p>
    <w:p>
      <w:pPr>
        <w:spacing w:after="120"/>
      </w:pPr>
      <w:r>
        <w:t xml:space="preserve">*Companion to `VRE_1Q26_Report.md`. Each insight is tagged with its specific source (file → page / sheet / cell) and labelled by reliability tier: </w:t>
      </w:r>
      <w:r>
        <w:rPr>
          <w:b/>
        </w:rPr>
        <w:t>[Reported]</w:t>
      </w:r>
      <w:r>
        <w:t xml:space="preserve"> = VRE 1Q26 disclosure (VAS, highest trust);</w:t>
      </w:r>
    </w:p>
    <w:p>
      <w:pPr>
        <w:spacing w:after="120"/>
      </w:pPr>
      <w:r>
        <w:rPr>
          <w:b/>
        </w:rPr>
        <w:t>[Mirae prior]</w:t>
      </w:r>
      <w:r>
        <w:t xml:space="preserve"> = our 3Q25 report; </w:t>
      </w:r>
      <w:r>
        <w:rPr>
          <w:b/>
        </w:rPr>
        <w:t>[Mirae model]</w:t>
      </w:r>
      <w:r>
        <w:t xml:space="preserve"> = our Excel build (estimate); </w:t>
      </w:r>
      <w:r>
        <w:rPr>
          <w:b/>
        </w:rPr>
        <w:t>[Competitor]</w:t>
      </w:r>
      <w:r>
        <w:t xml:space="preserve"> = TCBS "TCX" report (cross-check only). The two highest-value insights (5 and 6) lean partly on model/ competitor sources rather than the 1Q26 audited notes — closing that gap is the top primary-research task.*</w:t>
      </w:r>
    </w:p>
    <w:p>
      <w:pPr>
        <w:spacing w:after="120"/>
      </w:pPr>
      <w:r>
        <w:t>Source files:</w:t>
      </w:r>
    </w:p>
    <w:p>
      <w:pPr>
        <w:pStyle w:val="ListBullet"/>
      </w:pPr>
      <w:r>
        <w:rPr>
          <w:b/>
        </w:rPr>
        <w:t>1Q26 deck</w:t>
      </w:r>
      <w:r>
        <w:t xml:space="preserve"> = `VRE_1Q2026EarningsPresentation_ENG.pdf`</w:t>
      </w:r>
    </w:p>
    <w:p>
      <w:pPr>
        <w:pStyle w:val="ListBullet"/>
      </w:pPr>
      <w:r>
        <w:rPr>
          <w:b/>
        </w:rPr>
        <w:t>TCX report</w:t>
      </w:r>
      <w:r>
        <w:t xml:space="preserve"> = `VRE_Bao_cao_phan_tich_chi_tiet_EN.pdf` (Techcom Securities, AI-assisted, 9 Jun 2026)</w:t>
      </w:r>
    </w:p>
    <w:p>
      <w:pPr>
        <w:pStyle w:val="ListBullet"/>
      </w:pPr>
      <w:r>
        <w:rPr>
          <w:b/>
        </w:rPr>
        <w:t>Mirae 3Q25</w:t>
      </w:r>
      <w:r>
        <w:t xml:space="preserve"> = `EN_VRE_Report_3Q25_N_edit_S.docx`</w:t>
      </w:r>
    </w:p>
    <w:p>
      <w:pPr>
        <w:pStyle w:val="ListBullet"/>
      </w:pPr>
      <w:r>
        <w:rPr>
          <w:b/>
        </w:rPr>
        <w:t>Model</w:t>
      </w:r>
      <w:r>
        <w:t xml:space="preserve"> = `VRE_1Q26_v2_linked2_1.xlsx`</w:t>
      </w:r>
    </w:p>
    <w:p>
      <w:pPr>
        <w:spacing w:before="40" w:after="40"/>
        <w:pBdr>
          <w:bottom w:val="single" w:sz="6" w:space="1" w:color="BBBBBB"/>
        </w:pBdr>
      </w:pPr>
    </w:p>
    <w:p>
      <w:pPr>
        <w:spacing w:before="160" w:after="60"/>
      </w:pPr>
      <w:r>
        <w:rPr>
          <w:b/>
          <w:color w:val="1F3A5F"/>
          <w:sz w:val="25"/>
        </w:rPr>
        <w:t>The one-line read</w:t>
      </w:r>
    </w:p>
    <w:p>
      <w:pPr>
        <w:spacing w:after="120"/>
      </w:pPr>
      <w:r>
        <w:t xml:space="preserve">VRE's reported +36% net-profit growth is ~80% below-the-operating-line (a one-off disposal gain + related- party interest income), while the *core* leasing engine quietly compounds double-digit. The market has de-rated the whole company to near-trough P/B; the right call is </w:t>
      </w:r>
      <w:r>
        <w:rPr>
          <w:b/>
        </w:rPr>
        <w:t>discount the headline, but the business underneath is better than the price implies.</w:t>
      </w:r>
    </w:p>
    <w:p>
      <w:pPr>
        <w:spacing w:before="40" w:after="40"/>
        <w:pBdr>
          <w:bottom w:val="single" w:sz="6" w:space="1" w:color="BBBBBB"/>
        </w:pBdr>
      </w:pPr>
    </w:p>
    <w:p>
      <w:pPr>
        <w:spacing w:before="160" w:after="60"/>
      </w:pPr>
      <w:r>
        <w:rPr>
          <w:b/>
          <w:color w:val="1F3A5F"/>
          <w:sz w:val="25"/>
        </w:rPr>
        <w:t>Insight 1 — The +36% is ~80% below-the-line, not operating</w:t>
      </w:r>
    </w:p>
    <w:p>
      <w:pPr>
        <w:spacing w:after="120"/>
      </w:pPr>
      <w:r>
        <w:rPr>
          <w:b/>
        </w:rPr>
        <w:t>Sources:</w:t>
      </w:r>
      <w:r>
        <w:t xml:space="preserve"> NPAT +36.4% and EBITDA +4.3% → </w:t>
      </w:r>
      <w:r>
        <w:rPr>
          <w:b/>
        </w:rPr>
        <w:t>1Q26 deck, p.12–13</w:t>
      </w:r>
      <w:r>
        <w:t xml:space="preserve"> </w:t>
      </w:r>
      <w:r>
        <w:rPr>
          <w:b/>
        </w:rPr>
        <w:t>[Reported]</w:t>
      </w:r>
      <w:r>
        <w:t xml:space="preserve">. Profit bridge → </w:t>
      </w:r>
      <w:r>
        <w:rPr>
          <w:b/>
        </w:rPr>
        <w:t>p.13</w:t>
      </w:r>
      <w:r>
        <w:t xml:space="preserve">: gross profit +VND51.6bn (1,202.2→1,253.8); </w:t>
      </w:r>
      <w:r>
        <w:rPr>
          <w:b/>
        </w:rPr>
        <w:t>gain on disposal +VND184.7bn</w:t>
      </w:r>
      <w:r>
        <w:t xml:space="preserve"> (0.1→184.8); </w:t>
      </w:r>
      <w:r>
        <w:rPr>
          <w:b/>
        </w:rPr>
        <w:t>financial gain +VND248.1bn</w:t>
      </w:r>
      <w:r>
        <w:t xml:space="preserve"> (382.4→630.5, +64.9%, footnoted "additional interest gains from deposits"); net other income +VND16bn.</w:t>
      </w:r>
    </w:p>
    <w:p>
      <w:pPr>
        <w:spacing w:after="120"/>
      </w:pPr>
      <w:r>
        <w:rPr>
          <w:b/>
        </w:rPr>
        <w:t>Analysis:</w:t>
      </w:r>
      <w:r>
        <w:t xml:space="preserve"> PBT rose ~VND523bn YoY. Of that, only </w:t>
      </w:r>
      <w:r>
        <w:rPr>
          <w:b/>
        </w:rPr>
        <w:t>~VND52bn (~10%) is core gross profit</w:t>
      </w:r>
      <w:r>
        <w:t>; the rest is a</w:t>
      </w:r>
    </w:p>
    <w:p>
      <w:pPr>
        <w:spacing w:after="120"/>
      </w:pPr>
      <w:r>
        <w:rPr>
          <w:b/>
        </w:rPr>
        <w:t>~VND185bn non-recurring disposal gain + ~VND248bn of financial income.</w:t>
      </w:r>
      <w:r>
        <w:t xml:space="preserve"> EBITDA — the cleanest operating read — grew just </w:t>
      </w:r>
      <w:r>
        <w:rPr>
          <w:b/>
        </w:rPr>
        <w:t>+4.3%</w:t>
      </w:r>
      <w:r>
        <w:t xml:space="preserve"> (p.13 footnote: +5.9% ex-NCT). So the entire "growth" in the headline sits below the operating line.</w:t>
      </w:r>
    </w:p>
    <w:p>
      <w:pPr>
        <w:spacing w:after="120"/>
      </w:pPr>
      <w:r>
        <w:rPr>
          <w:b/>
        </w:rPr>
        <w:t>Implication:</w:t>
      </w:r>
      <w:r>
        <w:t xml:space="preserve"> "+36% NPAT, ~9.8x reported P/E = cheap" is a trap — the disposal gain won't repeat and the financial income is structurally lower-quality (see Insight 5). The valid anchors are EBITDA and normalised earnings, which is why we value the leasing annuity rather than reported PAT. This is precisely why VRE can be "cheap on P/E" and correctly de-rated on P/B simultaneously.</w:t>
      </w:r>
    </w:p>
    <w:p>
      <w:pPr>
        <w:spacing w:before="160" w:after="60"/>
      </w:pPr>
      <w:r>
        <w:rPr>
          <w:b/>
          <w:color w:val="1F3A5F"/>
          <w:sz w:val="25"/>
        </w:rPr>
        <w:t>Insight 2 — The core leasing business is genuinely inflecting</w:t>
      </w:r>
    </w:p>
    <w:p>
      <w:pPr>
        <w:spacing w:after="120"/>
      </w:pPr>
      <w:r>
        <w:rPr>
          <w:b/>
        </w:rPr>
        <w:t>Sources:</w:t>
      </w:r>
      <w:r>
        <w:t xml:space="preserve"> Like-for-like leasing </w:t>
      </w:r>
      <w:r>
        <w:rPr>
          <w:b/>
        </w:rPr>
        <w:t>+11.8%</w:t>
      </w:r>
      <w:r>
        <w:t xml:space="preserve"> and like-for-like NPAT </w:t>
      </w:r>
      <w:r>
        <w:rPr>
          <w:b/>
        </w:rPr>
        <w:t>+38.4%</w:t>
      </w:r>
      <w:r>
        <w:t xml:space="preserve"> → </w:t>
      </w:r>
      <w:r>
        <w:rPr>
          <w:b/>
        </w:rPr>
        <w:t>1Q26 deck, p.13</w:t>
      </w:r>
      <w:r>
        <w:t xml:space="preserve"> (notes column, ex-Nguyễn Chí Thanh) </w:t>
      </w:r>
      <w:r>
        <w:rPr>
          <w:b/>
        </w:rPr>
        <w:t>[Reported]</w:t>
      </w:r>
      <w:r>
        <w:t xml:space="preserve">. Occupancy </w:t>
      </w:r>
      <w:r>
        <w:rPr>
          <w:b/>
        </w:rPr>
        <w:t>88.9% (+2.8ppt)</w:t>
      </w:r>
      <w:r>
        <w:t xml:space="preserve">; by format VCC 97.1% / VMM 92.7% / VCP 84.1% / V+ 81.5% → </w:t>
      </w:r>
      <w:r>
        <w:rPr>
          <w:b/>
        </w:rPr>
        <w:t>p.2, p.12</w:t>
      </w:r>
      <w:r>
        <w:t xml:space="preserve"> </w:t>
      </w:r>
      <w:r>
        <w:rPr>
          <w:b/>
        </w:rPr>
        <w:t>[Reported]</w:t>
      </w:r>
      <w:r>
        <w:t xml:space="preserve">. Footfall </w:t>
      </w:r>
      <w:r>
        <w:rPr>
          <w:b/>
        </w:rPr>
        <w:t>+13.2%</w:t>
      </w:r>
      <w:r>
        <w:t xml:space="preserve"> (malls 55mn) + commercial streets 6.4mn </w:t>
      </w:r>
      <w:r>
        <w:rPr>
          <w:b/>
        </w:rPr>
        <w:t>+15.9%</w:t>
      </w:r>
      <w:r>
        <w:t xml:space="preserve"> → </w:t>
      </w:r>
      <w:r>
        <w:rPr>
          <w:b/>
        </w:rPr>
        <w:t>p.2, p.7</w:t>
      </w:r>
      <w:r>
        <w:t xml:space="preserve"> </w:t>
      </w:r>
      <w:r>
        <w:rPr>
          <w:b/>
        </w:rPr>
        <w:t>[Reported]</w:t>
      </w:r>
      <w:r>
        <w:t xml:space="preserve">. F&amp;B/Entertainment ~half of new leasing area (48%/52% split) → </w:t>
      </w:r>
      <w:r>
        <w:rPr>
          <w:b/>
        </w:rPr>
        <w:t>p.7</w:t>
      </w:r>
      <w:r>
        <w:t xml:space="preserve"> </w:t>
      </w:r>
      <w:r>
        <w:rPr>
          <w:b/>
        </w:rPr>
        <w:t>[Reported]</w:t>
      </w:r>
      <w:r>
        <w:t>.</w:t>
      </w:r>
    </w:p>
    <w:p>
      <w:pPr>
        <w:spacing w:after="120"/>
      </w:pPr>
      <w:r>
        <w:rPr>
          <w:b/>
        </w:rPr>
        <w:t>Analysis:</w:t>
      </w:r>
      <w:r>
        <w:t xml:space="preserve"> This is the higher-quality signal, and it is distinct from Insight 1. Reported leasing +9.0% is dragged by the NCT exit; the standing portfolio grew </w:t>
      </w:r>
      <w:r>
        <w:rPr>
          <w:b/>
        </w:rPr>
        <w:t>+11.8% like-for-like</w:t>
      </w:r>
      <w:r>
        <w:t xml:space="preserve"> with +38.4% profit pull-through as occupancy fills (operating leverage). The breadth matters — even community Vincom+ (81.5%) and provincial Plaza (84.1%) improved, so this is modern-retail consumption spreading, not one new Mega Mall flattering the average. The F&amp;B/entertainment tenant tilt is the correct defense against e-commerce and Aeon.</w:t>
      </w:r>
    </w:p>
    <w:p>
      <w:pPr>
        <w:spacing w:after="120"/>
      </w:pPr>
      <w:r>
        <w:rPr>
          <w:b/>
        </w:rPr>
        <w:t>Implication:</w:t>
      </w:r>
      <w:r>
        <w:t xml:space="preserve"> The durable engine is compounding double-digit — what the DCF capitalises — and proves the de-rating is not a fundamentals story (occupancy, footfall, like-for-like rent all up). This is the basis of the variant-perception call.</w:t>
      </w:r>
    </w:p>
    <w:p>
      <w:pPr>
        <w:spacing w:before="160" w:after="60"/>
      </w:pPr>
      <w:r>
        <w:rPr>
          <w:b/>
          <w:color w:val="1F3A5F"/>
          <w:sz w:val="25"/>
        </w:rPr>
        <w:t>Insight 3 — Quiet margin compression under the loud headline</w:t>
      </w:r>
    </w:p>
    <w:p>
      <w:pPr>
        <w:spacing w:after="120"/>
      </w:pPr>
      <w:r>
        <w:rPr>
          <w:b/>
        </w:rPr>
        <w:t>Sources:</w:t>
      </w:r>
      <w:r>
        <w:t xml:space="preserve"> Gross margin </w:t>
      </w:r>
      <w:r>
        <w:rPr>
          <w:b/>
        </w:rPr>
        <w:t>~54.7% (from 56.4%)</w:t>
      </w:r>
      <w:r>
        <w:t xml:space="preserve"> → computed from </w:t>
      </w:r>
      <w:r>
        <w:rPr>
          <w:b/>
        </w:rPr>
        <w:t>1Q26 deck, p.13</w:t>
      </w:r>
      <w:r>
        <w:t xml:space="preserve"> (GP 1,253.8/Rev 2,293.6 vs 1,202.2/2,131.4) </w:t>
      </w:r>
      <w:r>
        <w:rPr>
          <w:b/>
        </w:rPr>
        <w:t>[Reported inputs, our calc]</w:t>
      </w:r>
      <w:r>
        <w:t xml:space="preserve">. Leasing </w:t>
      </w:r>
      <w:r>
        <w:rPr>
          <w:b/>
        </w:rPr>
        <w:t>NOI margin 70.4% (from 73.2%)</w:t>
      </w:r>
      <w:r>
        <w:t xml:space="preserve"> → </w:t>
      </w:r>
      <w:r>
        <w:rPr>
          <w:b/>
        </w:rPr>
        <w:t>p.12</w:t>
      </w:r>
    </w:p>
    <w:p>
      <w:pPr>
        <w:spacing w:after="120"/>
      </w:pPr>
      <w:r>
        <w:rPr>
          <w:b/>
        </w:rPr>
        <w:t>[Reported]</w:t>
      </w:r>
      <w:r>
        <w:t xml:space="preserve">. Driver (energy/opex at new malls) → </w:t>
      </w:r>
      <w:r>
        <w:rPr>
          <w:b/>
        </w:rPr>
        <w:t>Mirae 3Q25, Table 3</w:t>
      </w:r>
      <w:r>
        <w:t xml:space="preserve"> ("gross margin eased…due to higher energy costs") </w:t>
      </w:r>
      <w:r>
        <w:rPr>
          <w:b/>
        </w:rPr>
        <w:t>[Mirae prior]</w:t>
      </w:r>
      <w:r>
        <w:t>.</w:t>
      </w:r>
    </w:p>
    <w:p>
      <w:pPr>
        <w:spacing w:after="120"/>
      </w:pPr>
      <w:r>
        <w:rPr>
          <w:b/>
        </w:rPr>
        <w:t>Analysis:</w:t>
      </w:r>
      <w:r>
        <w:t xml:space="preserve"> Gross profit grew only +4.3% on revenue +7.6% because newly opened Mega Malls carry full fixed operating cost (power, security, cleaning, depreciation) before rent fully ramps. NOI margin −~280bps is the cleanest evidence. This is normal J-curve drag, not deterioration — but it is a real near-term offset the +36% headline hides.</w:t>
      </w:r>
    </w:p>
    <w:p>
      <w:pPr>
        <w:spacing w:after="120"/>
      </w:pPr>
      <w:r>
        <w:rPr>
          <w:b/>
        </w:rPr>
        <w:t>Implication:</w:t>
      </w:r>
      <w:r>
        <w:t xml:space="preserve"> Two-sided. Near term it caps EBITDA growth (hence +4.3%). Medium term it is *operating leverage in waiting*: as those malls stabilise, incremental rent drops largely to EBITDA, pushing the margin back toward its &gt;60% peak. The dip is the cost of the growth the DCF is paying for. Watch NOI margin by format QoQ as the ramp tell.</w:t>
      </w:r>
    </w:p>
    <w:p>
      <w:pPr>
        <w:spacing w:before="160" w:after="60"/>
      </w:pPr>
      <w:r>
        <w:rPr>
          <w:b/>
          <w:color w:val="1F3A5F"/>
          <w:sz w:val="25"/>
        </w:rPr>
        <w:t>Insight 4 — The shophouse line is dormant; 2026 is leasing-only</w:t>
      </w:r>
    </w:p>
    <w:p>
      <w:pPr>
        <w:spacing w:after="120"/>
      </w:pPr>
      <w:r>
        <w:rPr>
          <w:b/>
        </w:rPr>
        <w:t>Sources:</w:t>
      </w:r>
      <w:r>
        <w:t xml:space="preserve"> Property/inventory sales </w:t>
      </w:r>
      <w:r>
        <w:rPr>
          <w:b/>
        </w:rPr>
        <w:t>−62.6%</w:t>
      </w:r>
      <w:r>
        <w:t xml:space="preserve"> (48.1→18.0) → </w:t>
      </w:r>
      <w:r>
        <w:rPr>
          <w:b/>
        </w:rPr>
        <w:t>1Q26 deck, p.13</w:t>
      </w:r>
      <w:r>
        <w:t xml:space="preserve"> </w:t>
      </w:r>
      <w:r>
        <w:rPr>
          <w:b/>
        </w:rPr>
        <w:t>[Reported]</w:t>
      </w:r>
      <w:r>
        <w:t xml:space="preserve">. Launch slippage (Golden Avenue ~280 units/VND1.3tn; Royal Island ~1,000 units/VND4.8tn postponed 4Q25→≥2Q26; Green Paradise ~1,300 units, 2027) → </w:t>
      </w:r>
      <w:r>
        <w:rPr>
          <w:b/>
        </w:rPr>
        <w:t>Mirae 3Q25</w:t>
      </w:r>
      <w:r>
        <w:t xml:space="preserve"> (body + Table 3) </w:t>
      </w:r>
      <w:r>
        <w:rPr>
          <w:b/>
        </w:rPr>
        <w:t>[Mirae prior]</w:t>
      </w:r>
      <w:r>
        <w:t xml:space="preserve">, corroborated by </w:t>
      </w:r>
      <w:r>
        <w:rPr>
          <w:b/>
        </w:rPr>
        <w:t>TCX p.18–20</w:t>
      </w:r>
    </w:p>
    <w:p>
      <w:pPr>
        <w:spacing w:after="120"/>
      </w:pPr>
      <w:r>
        <w:rPr>
          <w:b/>
        </w:rPr>
        <w:t>[Competitor]</w:t>
      </w:r>
      <w:r>
        <w:t>.</w:t>
      </w:r>
    </w:p>
    <w:p>
      <w:pPr>
        <w:spacing w:after="120"/>
      </w:pPr>
      <w:r>
        <w:rPr>
          <w:b/>
        </w:rPr>
        <w:t>Analysis:</w:t>
      </w:r>
      <w:r>
        <w:t xml:space="preserve"> VRE has effectively no property-development revenue now — the prior shophouse cycle is finished and the next keeps slipping. Our model treats 2026 as a pure-leasing year, pushing ~VND3tn of shophouse sales into 2027 and ~VND4tn into 2027+. This is the biggest swing between our shophouse-loaded prior (~VND11.4tn 2026 revenue) and the cleaner leasing-led ~VND9.6tn.</w:t>
      </w:r>
    </w:p>
    <w:p>
      <w:pPr>
        <w:spacing w:after="120"/>
      </w:pPr>
      <w:r>
        <w:rPr>
          <w:b/>
        </w:rPr>
        <w:t>Implication:</w:t>
      </w:r>
      <w:r>
        <w:t xml:space="preserve"> It removes a lumpy, lower-quality stream from 2026 — arguably *improving* earnings quality while lowering the topline — and is why our 2026F sits below both our prior and the TCX VND10,166bn. But each slip pushes the 2027 cash-flow leg further out. Track actual Golden Avenue / Royal Island launch dates as a hard catalyst.</w:t>
      </w:r>
    </w:p>
    <w:p>
      <w:pPr>
        <w:spacing w:before="160" w:after="60"/>
      </w:pPr>
      <w:r>
        <w:rPr>
          <w:b/>
          <w:color w:val="1F3A5F"/>
          <w:sz w:val="25"/>
        </w:rPr>
        <w:t>Insight 5 — Profit is increasingly treasury income, not rent (the differentiator)</w:t>
      </w:r>
    </w:p>
    <w:p>
      <w:pPr>
        <w:spacing w:after="120"/>
      </w:pPr>
      <w:r>
        <w:rPr>
          <w:b/>
        </w:rPr>
        <w:t>Sources:</w:t>
      </w:r>
      <w:r>
        <w:t xml:space="preserve"> Financial gain VND630.5bn (+64.9%), "additional interest gains from deposits" → </w:t>
      </w:r>
      <w:r>
        <w:rPr>
          <w:b/>
        </w:rPr>
        <w:t>1Q26 deck, p.13</w:t>
      </w:r>
      <w:r>
        <w:t xml:space="preserve"> </w:t>
      </w:r>
      <w:r>
        <w:rPr>
          <w:b/>
        </w:rPr>
        <w:t>[Reported]</w:t>
      </w:r>
      <w:r>
        <w:t xml:space="preserve">. </w:t>
      </w:r>
      <w:r>
        <w:rPr>
          <w:b/>
        </w:rPr>
        <w:t>~VND29.5tn cash/deposits/intercompany lending; ~VND2.5tn interest income; ~9% yield; "recurring run-rate" note</w:t>
      </w:r>
      <w:r>
        <w:t xml:space="preserve"> → </w:t>
      </w:r>
      <w:r>
        <w:rPr>
          <w:b/>
        </w:rPr>
        <w:t>Model, "Financial Income (New)" sheet</w:t>
      </w:r>
      <w:r>
        <w:t xml:space="preserve"> (D6=29,463; D16=2,504; row 10 yield; row 28 note) </w:t>
      </w:r>
      <w:r>
        <w:rPr>
          <w:b/>
        </w:rPr>
        <w:t>[Mirae model]</w:t>
      </w:r>
      <w:r>
        <w:t xml:space="preserve">. </w:t>
      </w:r>
      <w:r>
        <w:rPr>
          <w:b/>
        </w:rPr>
        <w:t>VND6,200bn deposit to a related party at 10–13%</w:t>
      </w:r>
      <w:r>
        <w:t xml:space="preserve"> (long-term deposits 14,198→18,716bn; +VND1,472bn external) → </w:t>
      </w:r>
      <w:r>
        <w:rPr>
          <w:b/>
        </w:rPr>
        <w:t>Mirae 3Q25, Table 3</w:t>
      </w:r>
      <w:r>
        <w:t xml:space="preserve"> </w:t>
      </w:r>
      <w:r>
        <w:rPr>
          <w:b/>
        </w:rPr>
        <w:t>[Mirae prior]</w:t>
      </w:r>
      <w:r>
        <w:t xml:space="preserve">. VinFast intercompany exposure ~11% → </w:t>
      </w:r>
      <w:r>
        <w:rPr>
          <w:b/>
        </w:rPr>
        <w:t>Model, "Debt" sheet rows 47–49</w:t>
      </w:r>
      <w:r>
        <w:t xml:space="preserve"> </w:t>
      </w:r>
      <w:r>
        <w:rPr>
          <w:b/>
        </w:rPr>
        <w:t>[Mirae model — unit typo, directional only]</w:t>
      </w:r>
      <w:r>
        <w:t>.</w:t>
      </w:r>
    </w:p>
    <w:p>
      <w:pPr>
        <w:spacing w:after="120"/>
      </w:pPr>
      <w:r>
        <w:rPr>
          <w:b/>
        </w:rPr>
        <w:t>Analysis:</w:t>
      </w:r>
      <w:r>
        <w:t xml:space="preserve"> VRE parks ~VND29.5tn (far above its ~VND3.9tn reported cash) in deposits and intercompany lending inside the Vingroup ecosystem at above-market 10–13% rates, generating ~VND2.5tn/yr of interest. The income is recurring but *financial*, opaque (counterparties/tenors/security not granularly disclosed), and concentrated in one related group. The 1Q26 financial-gain jump is this engine, not the malls.</w:t>
      </w:r>
    </w:p>
    <w:p>
      <w:pPr>
        <w:spacing w:after="120"/>
      </w:pPr>
      <w:r>
        <w:rPr>
          <w:b/>
        </w:rPr>
        <w:t>Implication:</w:t>
      </w:r>
      <w:r>
        <w:t xml:space="preserve"> Highest-value, least-replicable part of the analysis — and exactly what the AI report glosses. It changes the valuation architecture: premium multiple on leasing NOI, *haircut* on the financial- income stream (lower quality + related-party risk). It is also the principal governance risk — a change in deposit rates, counterparty health, or transfer-pricing scrutiny hits both reported profit and pipeline funding. Concrete ask: obtain the full related-party schedule (balances, rates, maturities, collateral).</w:t>
      </w:r>
    </w:p>
    <w:p>
      <w:pPr>
        <w:spacing w:after="120"/>
      </w:pPr>
      <w:r>
        <w:rPr>
          <w:b/>
        </w:rPr>
        <w:t>Caveat:</w:t>
      </w:r>
      <w:r>
        <w:t xml:space="preserve"> concentration is inferred from the model and the 3Q25 note, not the 1Q26 audited related-party disclosure — confirm against the actual note.</w:t>
      </w:r>
    </w:p>
    <w:p>
      <w:pPr>
        <w:spacing w:before="160" w:after="60"/>
      </w:pPr>
      <w:r>
        <w:rPr>
          <w:b/>
          <w:color w:val="1F3A5F"/>
          <w:sz w:val="25"/>
        </w:rPr>
        <w:t>Insight 6 — Balance sheet: leverage ticking up, cash "falling" for the right reason, DSO distortion</w:t>
      </w:r>
    </w:p>
    <w:p>
      <w:pPr>
        <w:spacing w:after="120"/>
      </w:pPr>
      <w:r>
        <w:rPr>
          <w:b/>
        </w:rPr>
        <w:t>Sources:</w:t>
      </w:r>
      <w:r>
        <w:t xml:space="preserve"> Borrowings 6,401→</w:t>
      </w:r>
      <w:r>
        <w:rPr>
          <w:b/>
        </w:rPr>
        <w:t>7,117</w:t>
      </w:r>
      <w:r>
        <w:t xml:space="preserve">; net debt/equity </w:t>
      </w:r>
      <w:r>
        <w:rPr>
          <w:b/>
        </w:rPr>
        <w:t>3.8%→4.9%</w:t>
      </w:r>
      <w:r>
        <w:t>; equity 48,368→</w:t>
      </w:r>
      <w:r>
        <w:rPr>
          <w:b/>
        </w:rPr>
        <w:t>49,974</w:t>
      </w:r>
      <w:r>
        <w:t>; cash &amp; equiv →</w:t>
      </w:r>
      <w:r>
        <w:rPr>
          <w:b/>
        </w:rPr>
        <w:t>3,936</w:t>
      </w:r>
      <w:r>
        <w:t xml:space="preserve">; total assets 61,279→60,963; IP+IPUC →27,180 → </w:t>
      </w:r>
      <w:r>
        <w:rPr>
          <w:b/>
        </w:rPr>
        <w:t>1Q26 deck, p.2, p.15</w:t>
      </w:r>
      <w:r>
        <w:t xml:space="preserve"> </w:t>
      </w:r>
      <w:r>
        <w:rPr>
          <w:b/>
        </w:rPr>
        <w:t>[Reported]</w:t>
      </w:r>
      <w:r>
        <w:t xml:space="preserve">. FY25 operating cash flow </w:t>
      </w:r>
      <w:r>
        <w:rPr>
          <w:b/>
        </w:rPr>
        <w:t>−VND3,262bn</w:t>
      </w:r>
      <w:r>
        <w:t xml:space="preserve"> → </w:t>
      </w:r>
      <w:r>
        <w:rPr>
          <w:b/>
        </w:rPr>
        <w:t>TCX p.16–17</w:t>
      </w:r>
      <w:r>
        <w:t xml:space="preserve"> </w:t>
      </w:r>
      <w:r>
        <w:rPr>
          <w:b/>
        </w:rPr>
        <w:t>[Competitor]</w:t>
      </w:r>
      <w:r>
        <w:t xml:space="preserve">, corroborated by our model. DSO ~188d (screen) vs </w:t>
      </w:r>
      <w:r>
        <w:rPr>
          <w:b/>
        </w:rPr>
        <w:t>trade DSO ~55d</w:t>
      </w:r>
      <w:r>
        <w:t xml:space="preserve"> → 188 from </w:t>
      </w:r>
      <w:r>
        <w:rPr>
          <w:b/>
        </w:rPr>
        <w:t>TCX p.16–17</w:t>
      </w:r>
      <w:r>
        <w:t xml:space="preserve"> </w:t>
      </w:r>
      <w:r>
        <w:rPr>
          <w:b/>
        </w:rPr>
        <w:t>[Competitor]</w:t>
      </w:r>
      <w:r>
        <w:t xml:space="preserve">; ~55 from </w:t>
      </w:r>
      <w:r>
        <w:rPr>
          <w:b/>
        </w:rPr>
        <w:t>Model, "Working Capital (New)"</w:t>
      </w:r>
      <w:r>
        <w:t xml:space="preserve"> (D11=54.51, 2025A) </w:t>
      </w:r>
      <w:r>
        <w:rPr>
          <w:b/>
        </w:rPr>
        <w:t>[Mirae model]</w:t>
      </w:r>
      <w:r>
        <w:t xml:space="preserve">. P/B ~1.1x spot vs ~1.9x 8-yr avg (2024 trough 0.9x) → </w:t>
      </w:r>
      <w:r>
        <w:rPr>
          <w:b/>
        </w:rPr>
        <w:t>TCX p.21</w:t>
      </w:r>
      <w:r>
        <w:t xml:space="preserve"> </w:t>
      </w:r>
      <w:r>
        <w:rPr>
          <w:b/>
        </w:rPr>
        <w:t>[Competitor]</w:t>
      </w:r>
      <w:r>
        <w:t xml:space="preserve"> + spot/BPS calc (equity 49,974 / 2,272m ≈ 22,000 BPS → 23,800/22,000 ≈ 1.08x).</w:t>
      </w:r>
    </w:p>
    <w:p>
      <w:pPr>
        <w:spacing w:after="120"/>
      </w:pPr>
      <w:r>
        <w:rPr>
          <w:b/>
        </w:rPr>
        <w:t>Analysis:</w:t>
      </w:r>
      <w:r>
        <w:t xml:space="preserve"> Net debt/equity rose 3.8%→4.9% and borrowings +VND716bn — trivial absolutely, but it is the</w:t>
      </w:r>
    </w:p>
    <w:p>
      <w:pPr>
        <w:spacing w:after="120"/>
      </w:pPr>
      <w:r>
        <w:t xml:space="preserve">*first draw* of pipeline funding, coinciding with cash &amp; equivalents falling to VND3,936bn. The nuance: cash fell because funds were </w:t>
      </w:r>
      <w:r>
        <w:rPr>
          <w:b/>
        </w:rPr>
        <w:t>redeployed into higher-yield related-party deposits and pipeline prepayments</w:t>
      </w:r>
      <w:r>
        <w:t xml:space="preserve">, not because operations consumed cash. Relatedly, the ~188-day DSO screens flag is an artefact of those long-term deposits in receivables; </w:t>
      </w:r>
      <w:r>
        <w:rPr>
          <w:b/>
        </w:rPr>
        <w:t>trade DSO is ~55 days</w:t>
      </w:r>
      <w:r>
        <w:t xml:space="preserve">, so working capital is far healthier than it looks. Operating property (IP+IPUC ~VND27.2tn) is </w:t>
      </w:r>
      <w:r>
        <w:rPr>
          <w:b/>
        </w:rPr>
        <w:t>under half</w:t>
      </w:r>
      <w:r>
        <w:t xml:space="preserve"> of the VND61tn asset base — the rest is that treasury/deposit balance.</w:t>
      </w:r>
    </w:p>
    <w:p>
      <w:pPr>
        <w:spacing w:after="120"/>
      </w:pPr>
      <w:r>
        <w:rPr>
          <w:b/>
        </w:rPr>
        <w:t>Implication:</w:t>
      </w:r>
      <w:r>
        <w:t xml:space="preserve"> The "part mall-landlord, part intra-group treasury" structure is visible right on the balance sheet. Leverage capacity is enormous and the pipeline funds without dilution — but the one genuine caution is *cash conversion*: FY25 operating cash flow was negative despite strong EBITDA, so the cycle is funded by asset recycling and debt. Watch EBITDA-to-cash conversion through 2026; don't be spooked by the 188-day DSO once you know why it's there.</w:t>
      </w:r>
    </w:p>
    <w:p>
      <w:pPr>
        <w:spacing w:before="40" w:after="40"/>
        <w:pBdr>
          <w:bottom w:val="single" w:sz="6" w:space="1" w:color="BBBBBB"/>
        </w:pBdr>
      </w:pPr>
    </w:p>
    <w:p>
      <w:pPr>
        <w:spacing w:before="160" w:after="60"/>
      </w:pPr>
      <w:r>
        <w:rPr>
          <w:b/>
          <w:color w:val="1F3A5F"/>
          <w:sz w:val="25"/>
        </w:rPr>
        <w:t>Source-reliability summary</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shd w:val="clear" w:fill="1F3A5F"/>
          </w:tcPr>
          <w:p>
            <w:r>
              <w:rPr>
                <w:b/>
                <w:color w:val="FFFFFF"/>
                <w:sz w:val="19"/>
              </w:rPr>
            </w:r>
            <w:r>
              <w:rPr>
                <w:b/>
                <w:color w:val="FFFFFF"/>
                <w:sz w:val="19"/>
              </w:rPr>
              <w:t>Tier</w:t>
            </w:r>
          </w:p>
        </w:tc>
        <w:tc>
          <w:tcPr>
            <w:tcW w:type="dxa" w:w="3216"/>
            <w:shd w:val="clear" w:fill="1F3A5F"/>
          </w:tcPr>
          <w:p>
            <w:r>
              <w:rPr>
                <w:b/>
                <w:color w:val="FFFFFF"/>
                <w:sz w:val="19"/>
              </w:rPr>
            </w:r>
            <w:r>
              <w:rPr>
                <w:b/>
                <w:color w:val="FFFFFF"/>
                <w:sz w:val="19"/>
              </w:rPr>
              <w:t>Covers</w:t>
            </w:r>
          </w:p>
        </w:tc>
        <w:tc>
          <w:tcPr>
            <w:tcW w:type="dxa" w:w="3216"/>
            <w:shd w:val="clear" w:fill="1F3A5F"/>
          </w:tcPr>
          <w:p>
            <w:r>
              <w:rPr>
                <w:b/>
                <w:color w:val="FFFFFF"/>
                <w:sz w:val="19"/>
              </w:rPr>
            </w:r>
            <w:r>
              <w:rPr>
                <w:b/>
                <w:color w:val="FFFFFF"/>
                <w:sz w:val="19"/>
              </w:rPr>
              <w:t>Trust</w:t>
            </w:r>
          </w:p>
        </w:tc>
      </w:tr>
      <w:tr>
        <w:tc>
          <w:tcPr>
            <w:tcW w:type="dxa" w:w="3216"/>
          </w:tcPr>
          <w:p>
            <w:r>
              <w:rPr>
                <w:sz w:val="19"/>
              </w:rPr>
            </w:r>
            <w:r>
              <w:rPr>
                <w:b/>
                <w:sz w:val="19"/>
              </w:rPr>
              <w:t>[Reported]</w:t>
            </w:r>
            <w:r>
              <w:rPr>
                <w:sz w:val="19"/>
              </w:rPr>
              <w:t xml:space="preserve"> 1Q26 deck (VAS)</w:t>
            </w:r>
          </w:p>
        </w:tc>
        <w:tc>
          <w:tcPr>
            <w:tcW w:type="dxa" w:w="3216"/>
          </w:tcPr>
          <w:p>
            <w:pPr>
              <w:jc w:val="right"/>
            </w:pPr>
            <w:r>
              <w:rPr>
                <w:sz w:val="19"/>
              </w:rPr>
            </w:r>
            <w:r>
              <w:rPr>
                <w:sz w:val="19"/>
              </w:rPr>
              <w:t>All hard 1Q26 figures: revenue, NPAT, occupancy, footfall, margins, balance sheet</w:t>
            </w:r>
          </w:p>
        </w:tc>
        <w:tc>
          <w:tcPr>
            <w:tcW w:type="dxa" w:w="3216"/>
          </w:tcPr>
          <w:p>
            <w:pPr>
              <w:jc w:val="right"/>
            </w:pPr>
            <w:r>
              <w:rPr>
                <w:sz w:val="19"/>
              </w:rPr>
            </w:r>
            <w:r>
              <w:rPr>
                <w:sz w:val="19"/>
              </w:rPr>
              <w:t>Highest — primary disclosure</w:t>
            </w:r>
          </w:p>
        </w:tc>
      </w:tr>
      <w:tr>
        <w:tc>
          <w:tcPr>
            <w:tcW w:type="dxa" w:w="3216"/>
          </w:tcPr>
          <w:p>
            <w:r>
              <w:rPr>
                <w:sz w:val="19"/>
              </w:rPr>
            </w:r>
            <w:r>
              <w:rPr>
                <w:b/>
                <w:sz w:val="19"/>
              </w:rPr>
              <w:t>[Mirae prior]</w:t>
            </w:r>
            <w:r>
              <w:rPr>
                <w:sz w:val="19"/>
              </w:rPr>
              <w:t xml:space="preserve"> 3Q25 report</w:t>
            </w:r>
          </w:p>
        </w:tc>
        <w:tc>
          <w:tcPr>
            <w:tcW w:type="dxa" w:w="3216"/>
          </w:tcPr>
          <w:p>
            <w:pPr>
              <w:jc w:val="right"/>
            </w:pPr>
            <w:r>
              <w:rPr>
                <w:sz w:val="19"/>
              </w:rPr>
            </w:r>
            <w:r>
              <w:rPr>
                <w:sz w:val="19"/>
              </w:rPr>
              <w:t>Related-party deposit detail, rates, launch slippage</w:t>
            </w:r>
          </w:p>
        </w:tc>
        <w:tc>
          <w:tcPr>
            <w:tcW w:type="dxa" w:w="3216"/>
          </w:tcPr>
          <w:p>
            <w:pPr>
              <w:jc w:val="right"/>
            </w:pPr>
            <w:r>
              <w:rPr>
                <w:sz w:val="19"/>
              </w:rPr>
            </w:r>
            <w:r>
              <w:rPr>
                <w:sz w:val="19"/>
              </w:rPr>
              <w:t>High — 3Q25 vintage; refresh vs 1Q26 audited notes</w:t>
            </w:r>
          </w:p>
        </w:tc>
      </w:tr>
      <w:tr>
        <w:tc>
          <w:tcPr>
            <w:tcW w:type="dxa" w:w="3216"/>
          </w:tcPr>
          <w:p>
            <w:r>
              <w:rPr>
                <w:sz w:val="19"/>
              </w:rPr>
            </w:r>
            <w:r>
              <w:rPr>
                <w:b/>
                <w:sz w:val="19"/>
              </w:rPr>
              <w:t>[Mirae model]</w:t>
            </w:r>
            <w:r>
              <w:rPr>
                <w:sz w:val="19"/>
              </w:rPr>
              <w:t xml:space="preserve"> Excel "New" sheets</w:t>
            </w:r>
          </w:p>
        </w:tc>
        <w:tc>
          <w:tcPr>
            <w:tcW w:type="dxa" w:w="3216"/>
          </w:tcPr>
          <w:p>
            <w:pPr>
              <w:jc w:val="right"/>
            </w:pPr>
            <w:r>
              <w:rPr>
                <w:sz w:val="19"/>
              </w:rPr>
            </w:r>
            <w:r>
              <w:rPr>
                <w:sz w:val="19"/>
              </w:rPr>
              <w:t>~VND29.5tn balance, ~VND2.5tn interest income, trade DSO ~55d</w:t>
            </w:r>
          </w:p>
        </w:tc>
        <w:tc>
          <w:tcPr>
            <w:tcW w:type="dxa" w:w="3216"/>
          </w:tcPr>
          <w:p>
            <w:pPr>
              <w:jc w:val="right"/>
            </w:pPr>
            <w:r>
              <w:rPr>
                <w:sz w:val="19"/>
              </w:rPr>
            </w:r>
            <w:r>
              <w:rPr>
                <w:sz w:val="19"/>
              </w:rPr>
              <w:t>Medium — our estimates; model still has hygiene bugs</w:t>
            </w:r>
          </w:p>
        </w:tc>
      </w:tr>
      <w:tr>
        <w:tc>
          <w:tcPr>
            <w:tcW w:type="dxa" w:w="3216"/>
          </w:tcPr>
          <w:p>
            <w:r>
              <w:rPr>
                <w:sz w:val="19"/>
              </w:rPr>
            </w:r>
            <w:r>
              <w:rPr>
                <w:b/>
                <w:sz w:val="19"/>
              </w:rPr>
              <w:t>[Competitor]</w:t>
            </w:r>
            <w:r>
              <w:rPr>
                <w:sz w:val="19"/>
              </w:rPr>
              <w:t xml:space="preserve"> TCX report</w:t>
            </w:r>
          </w:p>
        </w:tc>
        <w:tc>
          <w:tcPr>
            <w:tcW w:type="dxa" w:w="3216"/>
          </w:tcPr>
          <w:p>
            <w:pPr>
              <w:jc w:val="right"/>
            </w:pPr>
            <w:r>
              <w:rPr>
                <w:sz w:val="19"/>
              </w:rPr>
            </w:r>
            <w:r>
              <w:rPr>
                <w:sz w:val="19"/>
              </w:rPr>
              <w:t>FY25 CFO −3,262, 188-day DSO, P/B history, peer comps</w:t>
            </w:r>
          </w:p>
        </w:tc>
        <w:tc>
          <w:tcPr>
            <w:tcW w:type="dxa" w:w="3216"/>
          </w:tcPr>
          <w:p>
            <w:pPr>
              <w:jc w:val="right"/>
            </w:pPr>
            <w:r>
              <w:rPr>
                <w:sz w:val="19"/>
              </w:rPr>
            </w:r>
            <w:r>
              <w:rPr>
                <w:sz w:val="19"/>
              </w:rPr>
              <w:t>Cross-check only — pull fresh independently</w:t>
            </w:r>
          </w:p>
        </w:tc>
      </w:tr>
      <w:tr>
        <w:tc>
          <w:tcPr>
            <w:tcW w:type="dxa" w:w="3216"/>
          </w:tcPr>
          <w:p>
            <w:r>
              <w:rPr>
                <w:sz w:val="19"/>
              </w:rPr>
            </w:r>
            <w:r>
              <w:rPr>
                <w:sz w:val="19"/>
              </w:rPr>
              <w:t>VinFast loan cells</w:t>
            </w:r>
          </w:p>
        </w:tc>
        <w:tc>
          <w:tcPr>
            <w:tcW w:type="dxa" w:w="3216"/>
          </w:tcPr>
          <w:p>
            <w:pPr>
              <w:jc w:val="right"/>
            </w:pPr>
            <w:r>
              <w:rPr>
                <w:sz w:val="19"/>
              </w:rPr>
            </w:r>
            <w:r>
              <w:rPr>
                <w:sz w:val="19"/>
              </w:rPr>
              <w:t>Intercompany magnitude</w:t>
            </w:r>
          </w:p>
        </w:tc>
        <w:tc>
          <w:tcPr>
            <w:tcW w:type="dxa" w:w="3216"/>
          </w:tcPr>
          <w:p>
            <w:pPr>
              <w:jc w:val="right"/>
            </w:pPr>
            <w:r>
              <w:rPr>
                <w:sz w:val="19"/>
              </w:rPr>
            </w:r>
            <w:r>
              <w:rPr>
                <w:sz w:val="19"/>
              </w:rPr>
              <w:t>Low — unit typo; directional only</w:t>
            </w:r>
          </w:p>
        </w:tc>
      </w:tr>
    </w:tbl>
    <w:p>
      <w:pPr>
        <w:spacing w:after="40"/>
      </w:pPr>
    </w:p>
    <w:p>
      <w:pPr>
        <w:spacing w:after="120"/>
      </w:pPr>
      <w:r>
        <w:rPr>
          <w:b/>
        </w:rPr>
        <w:t>Top primary-research task before client publication:</w:t>
      </w:r>
      <w:r>
        <w:t xml:space="preserve"> read VRE's 1Q26 related-party and cash-flow notes directly to confirm Insights 5 and 6, which currently lean partly on model/competitor sources.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