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32"/>
        </w:rPr>
        <w:t>Vincom Retail (VRE VN) — 1Q2026 Review: leasing accelerates, but read the financial income carefully</w:t>
      </w:r>
    </w:p>
    <w:p>
      <w:pPr>
        <w:spacing w:after="120"/>
      </w:pPr>
      <w:r>
        <w:rPr>
          <w:b/>
        </w:rPr>
        <w:t>Mirae Asset Securities (Vietnam) JSC · Commercial Real Estate · 1Q2026 Results Review</w:t>
      </w:r>
    </w:p>
    <w:p>
      <w:pPr>
        <w:spacing w:after="120"/>
      </w:pPr>
      <w:r>
        <w:rPr>
          <w:b/>
        </w:rPr>
        <w:t>Analyst: Quan Ton — quan.td@miraeasset.com.vn · 30 June 2026</w:t>
      </w:r>
    </w:p>
    <w:p>
      <w:pPr>
        <w:spacing w:after="120"/>
      </w:pPr>
      <w:r>
        <w:t>*View: constructive. The operating recovery is genuine and broad-based, but reported profit growth is flattered by financial income and a small asset-disposal gain. We value VRE on its recurring leasing annuity and treat the related-party deposit income as lower-quality. Full valuation in the companion note; this document is a worded review of 1Q2026 developments, related-party exposure, and the financials.*</w:t>
      </w:r>
    </w:p>
    <w:p>
      <w:pPr>
        <w:spacing w:before="40" w:after="40"/>
        <w:pBdr>
          <w:bottom w:val="single" w:sz="6" w:space="1" w:color="BBBBBB"/>
        </w:pBdr>
      </w:pPr>
    </w:p>
    <w:p>
      <w:pPr>
        <w:spacing w:before="160" w:after="60"/>
      </w:pPr>
      <w:r>
        <w:rPr>
          <w:b/>
          <w:color w:val="1F3A5F"/>
          <w:sz w:val="25"/>
        </w:rPr>
        <w:t>1. News and developments — situation and business lines</w:t>
      </w:r>
    </w:p>
    <w:p>
      <w:pPr>
        <w:spacing w:after="120"/>
      </w:pPr>
      <w:r>
        <w:rPr>
          <w:b/>
        </w:rPr>
        <w:t>Headline.</w:t>
      </w:r>
      <w:r>
        <w:t xml:space="preserve"> VRE opened FY2026 with its strongest underlying quarter in years. 1Q2026 total revenue rose</w:t>
      </w:r>
    </w:p>
    <w:p>
      <w:pPr>
        <w:spacing w:after="120"/>
      </w:pPr>
      <w:r>
        <w:rPr>
          <w:b/>
        </w:rPr>
        <w:t>+7.6% YoY to VND2,294bn</w:t>
      </w:r>
      <w:r>
        <w:t xml:space="preserve"> and net profit attributable to shareholders jumped </w:t>
      </w:r>
      <w:r>
        <w:rPr>
          <w:b/>
        </w:rPr>
        <w:t>+36.4% to VND1,606bn</w:t>
      </w:r>
      <w:r>
        <w:t xml:space="preserve">, completing roughly a quarter of full-year revenue guidance and ~30% of the profit plan in the seasonally weakest quarter. Crucially, the strength is in the core: stripping out the divested Vincom Center Nguyễn Chí Thanh, </w:t>
      </w:r>
      <w:r>
        <w:rPr>
          <w:b/>
        </w:rPr>
        <w:t>like-for-like leasing revenue grew +11.8% and like-for-like profit +38.4%</w:t>
      </w:r>
      <w:r>
        <w:t xml:space="preserve"> — the portfolio is accelerating, not merely lapping easy comparisons or coasting on one-off disposals.</w:t>
      </w:r>
    </w:p>
    <w:p>
      <w:pPr>
        <w:spacing w:after="120"/>
      </w:pPr>
      <w:r>
        <w:rPr>
          <w:b/>
        </w:rPr>
        <w:t>Operating momentum.</w:t>
      </w:r>
      <w:r>
        <w:t xml:space="preserve"> System occupancy reached </w:t>
      </w:r>
      <w:r>
        <w:rPr>
          <w:b/>
        </w:rPr>
        <w:t>88.9% at 31 March 2026 (+2.8ppt YoY)</w:t>
      </w:r>
      <w:r>
        <w:t>, and footfall rose</w:t>
      </w:r>
    </w:p>
    <w:p>
      <w:pPr>
        <w:spacing w:after="120"/>
      </w:pPr>
      <w:r>
        <w:rPr>
          <w:b/>
        </w:rPr>
        <w:t>+13.2%</w:t>
      </w:r>
      <w:r>
        <w:t xml:space="preserve"> at malls (with the new commercial-street format adding a further +15.9%). The improvement is broad: Vincom Center held a premium 97.1%, Vincom Mega Mall climbed to 92.7% as recently opened malls filled, provincial Vincom Plaza improved to 84.1%, and community Vincom+ recovered to 81.5%. Management continued to tilt the tenant mix toward experience — F&amp;B and entertainment took roughly half of new leasing area in the quarter — which is the correct strategic response to both e-commerce and Aeon's destination model, and supports footfall quality and rent step-ups on renewal.</w:t>
      </w:r>
    </w:p>
    <w:p>
      <w:pPr>
        <w:spacing w:after="120"/>
      </w:pPr>
      <w:r>
        <w:rPr>
          <w:b/>
        </w:rPr>
        <w:t>Business lines.</w:t>
      </w:r>
      <w:r>
        <w:t xml:space="preserve"> VRE remains, in substance, a pure retail-leasing landlord: leasing of investment properties and related services is ~96% of 1Q26 revenue and the overwhelming share of gross profit. The</w:t>
      </w:r>
    </w:p>
    <w:p>
      <w:pPr>
        <w:spacing w:after="120"/>
      </w:pPr>
      <w:r>
        <w:rPr>
          <w:b/>
        </w:rPr>
        <w:t>property-sales line (shophouses) was effectively dormant</w:t>
      </w:r>
      <w:r>
        <w:t xml:space="preserve"> in the quarter (VND18bn, −62.6% YoY) as the prior development cycle wound down and new launches slipped; the next shophouse leg — Vinhomes Golden Avenue (~280 units, ~VND1.3tn) and Royal Island (~1,000 units, ~VND4.8tn) — has been postponed from 4Q25 to at least 2026, with Vinhomes Green Paradise (~1,300 units) a 2027 story. We therefore treat 2026 as a leasing-led year and view shophouse cash flows as 2027+ optionality, with real timing risk. The third line,</w:t>
      </w:r>
    </w:p>
    <w:p>
      <w:pPr>
        <w:spacing w:after="120"/>
      </w:pPr>
      <w:r>
        <w:rPr>
          <w:b/>
        </w:rPr>
        <w:t>management/services and a nascent commercial-street format (Vincom Collection)</w:t>
      </w:r>
      <w:r>
        <w:t>, is small but growing.</w:t>
      </w:r>
    </w:p>
    <w:p>
      <w:pPr>
        <w:spacing w:after="120"/>
      </w:pPr>
      <w:r>
        <w:rPr>
          <w:b/>
        </w:rPr>
        <w:t>Pipeline and openings.</w:t>
      </w:r>
      <w:r>
        <w:t xml:space="preserve"> The growth engine is the Mega-Mall pipeline tied to Vinhomes townships, where captive resident bases shorten ramp-up. Near-term, VRE guides to </w:t>
      </w:r>
      <w:r>
        <w:rPr>
          <w:b/>
        </w:rPr>
        <w:t>VCP Dan Phuong (Hanoi, ~25,000 m², 3Q26)</w:t>
      </w:r>
      <w:r>
        <w:t xml:space="preserve"> and the </w:t>
      </w:r>
      <w:r>
        <w:rPr>
          <w:b/>
        </w:rPr>
        <w:t>J-Town commercial streets at My Lam, Tuyen Quang (4Q26)</w:t>
      </w:r>
      <w:r>
        <w:t>. Beyond that, ~764,000 m² of GFA is secured with deposits and ~980,000 m² is under feasibility, with larger Mega Malls (e.g., Apollo City ~110,000 m², Green City, and four malls at Green Paradise in HCMC) post-2026. Total retail GFA was</w:t>
      </w:r>
    </w:p>
    <w:p>
      <w:pPr>
        <w:spacing w:after="120"/>
      </w:pPr>
      <w:r>
        <w:rPr>
          <w:b/>
        </w:rPr>
        <w:t>1,914k m² (+6.6% YoY)</w:t>
      </w:r>
      <w:r>
        <w:t>. The broader backdrop is supportive: 1Q26 GDP grew +7.83% (a 15-year high), real retail sales +7%, FDI disbursement at a record, and only modest new competing supply (Hanoi +58,000 m², HCMC flat) with single-digit CBD asking-rent growth.</w:t>
      </w:r>
    </w:p>
    <w:p>
      <w:pPr>
        <w:spacing w:after="120"/>
      </w:pPr>
      <w:r>
        <w:rPr>
          <w:b/>
        </w:rPr>
        <w:t>Governance/operations.</w:t>
      </w:r>
      <w:r>
        <w:t xml:space="preserve"> VRE published AGM materials 28 days early, appointed a Data Protection Officer ahead of the new data-privacy law, and reached 100% e-signature adoption on labour contracts and 78% on leasing contracts — incremental but credit-positive on disclosure and efficiency.</w:t>
      </w:r>
    </w:p>
    <w:p>
      <w:pPr>
        <w:spacing w:before="160" w:after="60"/>
      </w:pPr>
      <w:r>
        <w:rPr>
          <w:b/>
          <w:color w:val="1F3A5F"/>
          <w:sz w:val="25"/>
        </w:rPr>
        <w:t>2. Related-party transactions — the key earnings-quality issue</w:t>
      </w:r>
    </w:p>
    <w:p>
      <w:pPr>
        <w:spacing w:after="120"/>
      </w:pPr>
      <w:r>
        <w:t>This is where 1Q26's reported profit must be read with discipline, and where our analysis departs most from a surface read of the results.</w:t>
      </w:r>
    </w:p>
    <w:p>
      <w:pPr>
        <w:spacing w:after="120"/>
      </w:pPr>
      <w:r>
        <w:rPr>
          <w:b/>
        </w:rPr>
        <w:t>Ownership and ecosystem dependence.</w:t>
      </w:r>
      <w:r>
        <w:t xml:space="preserve"> VRE sits inside the Vingroup ecosystem: Sado holds ~40.5% and Vingroup (VIC) ~18.4%, together ~59% of the company. The relationship is a genuine competitive asset — it gives VRE priority access to retail space within Vinhomes townships, and </w:t>
      </w:r>
      <w:r>
        <w:rPr>
          <w:b/>
        </w:rPr>
        <w:t>~90% of the Mega-Mall pipeline is tied to Vinhomes projects</w:t>
      </w:r>
      <w:r>
        <w:t xml:space="preserve"> — but it also concentrates counterparty, handover-timing and transfer-pricing risk in a single group.</w:t>
      </w:r>
    </w:p>
    <w:p>
      <w:pPr>
        <w:spacing w:after="120"/>
      </w:pPr>
      <w:r>
        <w:rPr>
          <w:b/>
        </w:rPr>
        <w:t>Intercompany lending and deposits — the crux.</w:t>
      </w:r>
      <w:r>
        <w:t xml:space="preserve"> The most important balance-sheet development is the scale of VRE's lending to, and deposits with, related parties. Group cash, deposits and intercompany lending rose from ~VND17tn (2024) to roughly </w:t>
      </w:r>
      <w:r>
        <w:rPr>
          <w:b/>
        </w:rPr>
        <w:t>VND29.5tn by end-2025</w:t>
      </w:r>
      <w:r>
        <w:t xml:space="preserve">, far above the ~VND3.9–4.4tn of reported cash and equivalents — i.e., the bulk sits in </w:t>
      </w:r>
      <w:r>
        <w:rPr>
          <w:b/>
        </w:rPr>
        <w:t>long-term deposits and intercompany receivables</w:t>
      </w:r>
      <w:r>
        <w:t xml:space="preserve">. In 3Q25 long-term deposits jumped from VND14,198bn to VND18,716bn, driven by a </w:t>
      </w:r>
      <w:r>
        <w:rPr>
          <w:b/>
        </w:rPr>
        <w:t>new ~VND6,200bn deposit to a related party "for future mall investment and development,"</w:t>
      </w:r>
      <w:r>
        <w:t xml:space="preserve"> plus ~VND1,472bn placed with external partners; these balances reportedly earn </w:t>
      </w:r>
      <w:r>
        <w:rPr>
          <w:b/>
        </w:rPr>
        <w:t>10–13% per year</w:t>
      </w:r>
      <w:r>
        <w:t xml:space="preserve">. The model carries a further material intercompany exposure to a Vingroup affiliate (VinFast) at ~11%. The consequence is direct: </w:t>
      </w:r>
      <w:r>
        <w:rPr>
          <w:b/>
        </w:rPr>
        <w:t>VRE now earns ~VND2.5tn a year of recurring interest income</w:t>
      </w:r>
      <w:r>
        <w:t xml:space="preserve"> on these balances, and 1Q26's financial gain of </w:t>
      </w:r>
      <w:r>
        <w:rPr>
          <w:b/>
        </w:rPr>
        <w:t>VND630.5bn (+64.9% YoY)</w:t>
      </w:r>
      <w:r>
        <w:t xml:space="preserve"> was explicitly attributed to additional interest on deposits — i.e., a large slice of the headline profit growth is financial, not operational.</w:t>
      </w:r>
    </w:p>
    <w:p>
      <w:pPr>
        <w:spacing w:after="120"/>
      </w:pPr>
      <w:r>
        <w:rPr>
          <w:b/>
        </w:rPr>
        <w:t>Asset recycling.</w:t>
      </w:r>
      <w:r>
        <w:t xml:space="preserve"> The October 2025 divestment of Vincom Center Nguyễn Chí Thanh to Bao Quan for VND3,630bn (a ~VND1,900bn pre-tax gain) is part of the same picture — portfolio rebalancing that releases capital from a mature asset, but also a related-party-adjacent transaction whose proceeds flow back into the ecosystem via deposits. A smaller VND184.8bn investment-property disposal gain recurred in 1Q26.</w:t>
      </w:r>
    </w:p>
    <w:p>
      <w:pPr>
        <w:spacing w:after="120"/>
      </w:pPr>
      <w:r>
        <w:rPr>
          <w:b/>
        </w:rPr>
        <w:t>Our stance.</w:t>
      </w:r>
      <w:r>
        <w:t xml:space="preserve"> This income is real and the rates are above-market, but it is lower-quality than rent: it is opaque (counterparties, tenors and security are not granularly disclosed), concentrated in one group, and ultimately a treasury function rather than a mall-operating result. We value the leasing annuity at a premium multiple and haircut the financial-income stream. The single most useful disclosure VRE could provide is a full related-party schedule — counterparties, balances, rates, maturities and collateral. Until then, we flag the deposit concentration as the principal earnings-quality and governance risk in the name.</w:t>
      </w:r>
    </w:p>
    <w:p>
      <w:pPr>
        <w:spacing w:before="160" w:after="60"/>
      </w:pPr>
      <w:r>
        <w:rPr>
          <w:b/>
          <w:color w:val="1F3A5F"/>
          <w:sz w:val="25"/>
        </w:rPr>
        <w:t>3. Income statement — summary and analysis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shd w:val="clear" w:fill="1F3A5F"/>
          </w:tcPr>
          <w:p>
            <w:r>
              <w:rPr>
                <w:b/>
                <w:color w:val="FFFFFF"/>
                <w:sz w:val="19"/>
              </w:rPr>
            </w:r>
            <w:r>
              <w:rPr>
                <w:b/>
                <w:color w:val="FFFFFF"/>
                <w:sz w:val="19"/>
              </w:rPr>
              <w:t>VND bn</w:t>
            </w:r>
          </w:p>
        </w:tc>
        <w:tc>
          <w:tcPr>
            <w:tcW w:type="dxa" w:w="2412"/>
            <w:shd w:val="clear" w:fill="1F3A5F"/>
          </w:tcPr>
          <w:p>
            <w:r>
              <w:rPr>
                <w:b/>
                <w:color w:val="FFFFFF"/>
                <w:sz w:val="19"/>
              </w:rPr>
            </w:r>
            <w:r>
              <w:rPr>
                <w:b/>
                <w:color w:val="FFFFFF"/>
                <w:sz w:val="19"/>
              </w:rPr>
              <w:t>1Q25</w:t>
            </w:r>
          </w:p>
        </w:tc>
        <w:tc>
          <w:tcPr>
            <w:tcW w:type="dxa" w:w="2412"/>
            <w:shd w:val="clear" w:fill="1F3A5F"/>
          </w:tcPr>
          <w:p>
            <w:r>
              <w:rPr>
                <w:b/>
                <w:color w:val="FFFFFF"/>
                <w:sz w:val="19"/>
              </w:rPr>
            </w:r>
            <w:r>
              <w:rPr>
                <w:b/>
                <w:color w:val="FFFFFF"/>
                <w:sz w:val="19"/>
              </w:rPr>
              <w:t>1Q26</w:t>
            </w:r>
          </w:p>
        </w:tc>
        <w:tc>
          <w:tcPr>
            <w:tcW w:type="dxa" w:w="2412"/>
            <w:shd w:val="clear" w:fill="1F3A5F"/>
          </w:tcPr>
          <w:p>
            <w:r>
              <w:rPr>
                <w:b/>
                <w:color w:val="FFFFFF"/>
                <w:sz w:val="19"/>
              </w:rPr>
            </w:r>
            <w:r>
              <w:rPr>
                <w:b/>
                <w:color w:val="FFFFFF"/>
                <w:sz w:val="19"/>
              </w:rPr>
              <w:t>YoY</w:t>
            </w:r>
          </w:p>
        </w:tc>
      </w:tr>
      <w:tr>
        <w:tc>
          <w:tcPr>
            <w:tcW w:type="dxa" w:w="2412"/>
          </w:tcPr>
          <w:p>
            <w:r>
              <w:rPr>
                <w:sz w:val="19"/>
              </w:rPr>
            </w:r>
            <w:r>
              <w:rPr>
                <w:sz w:val="19"/>
              </w:rPr>
              <w:t>Leasing &amp; related-services revenue</w:t>
            </w:r>
          </w:p>
        </w:tc>
        <w:tc>
          <w:tcPr>
            <w:tcW w:type="dxa" w:w="2412"/>
          </w:tcPr>
          <w:p>
            <w:pPr>
              <w:jc w:val="right"/>
            </w:pPr>
            <w:r>
              <w:rPr>
                <w:sz w:val="19"/>
              </w:rPr>
            </w:r>
            <w:r>
              <w:rPr>
                <w:sz w:val="19"/>
              </w:rPr>
              <w:t>2,026.0</w:t>
            </w:r>
          </w:p>
        </w:tc>
        <w:tc>
          <w:tcPr>
            <w:tcW w:type="dxa" w:w="2412"/>
          </w:tcPr>
          <w:p>
            <w:pPr>
              <w:jc w:val="right"/>
            </w:pPr>
            <w:r>
              <w:rPr>
                <w:sz w:val="19"/>
              </w:rPr>
            </w:r>
            <w:r>
              <w:rPr>
                <w:sz w:val="19"/>
              </w:rPr>
              <w:t>2,208.2</w:t>
            </w:r>
          </w:p>
        </w:tc>
        <w:tc>
          <w:tcPr>
            <w:tcW w:type="dxa" w:w="2412"/>
          </w:tcPr>
          <w:p>
            <w:pPr>
              <w:jc w:val="right"/>
            </w:pPr>
            <w:r>
              <w:rPr>
                <w:sz w:val="19"/>
              </w:rPr>
            </w:r>
            <w:r>
              <w:rPr>
                <w:sz w:val="19"/>
              </w:rPr>
              <w:t>+9.0%</w:t>
            </w:r>
          </w:p>
        </w:tc>
      </w:tr>
      <w:tr>
        <w:tc>
          <w:tcPr>
            <w:tcW w:type="dxa" w:w="2412"/>
          </w:tcPr>
          <w:p>
            <w:r>
              <w:rPr>
                <w:sz w:val="19"/>
              </w:rPr>
            </w:r>
            <w:r>
              <w:rPr>
                <w:sz w:val="19"/>
              </w:rPr>
              <w:t>Property (inventory) sales</w:t>
            </w:r>
          </w:p>
        </w:tc>
        <w:tc>
          <w:tcPr>
            <w:tcW w:type="dxa" w:w="2412"/>
          </w:tcPr>
          <w:p>
            <w:pPr>
              <w:jc w:val="right"/>
            </w:pPr>
            <w:r>
              <w:rPr>
                <w:sz w:val="19"/>
              </w:rPr>
            </w:r>
            <w:r>
              <w:rPr>
                <w:sz w:val="19"/>
              </w:rPr>
              <w:t>48.1</w:t>
            </w:r>
          </w:p>
        </w:tc>
        <w:tc>
          <w:tcPr>
            <w:tcW w:type="dxa" w:w="2412"/>
          </w:tcPr>
          <w:p>
            <w:pPr>
              <w:jc w:val="right"/>
            </w:pPr>
            <w:r>
              <w:rPr>
                <w:sz w:val="19"/>
              </w:rPr>
            </w:r>
            <w:r>
              <w:rPr>
                <w:sz w:val="19"/>
              </w:rPr>
              <w:t>18.0</w:t>
            </w:r>
          </w:p>
        </w:tc>
        <w:tc>
          <w:tcPr>
            <w:tcW w:type="dxa" w:w="2412"/>
          </w:tcPr>
          <w:p>
            <w:pPr>
              <w:jc w:val="right"/>
            </w:pPr>
            <w:r>
              <w:rPr>
                <w:sz w:val="19"/>
              </w:rPr>
            </w:r>
            <w:r>
              <w:rPr>
                <w:sz w:val="19"/>
              </w:rPr>
              <w:t>−62.6%</w:t>
            </w:r>
          </w:p>
        </w:tc>
      </w:tr>
      <w:tr>
        <w:tc>
          <w:tcPr>
            <w:tcW w:type="dxa" w:w="2412"/>
          </w:tcPr>
          <w:p>
            <w:r>
              <w:rPr>
                <w:sz w:val="19"/>
              </w:rPr>
            </w:r>
            <w:r>
              <w:rPr>
                <w:sz w:val="19"/>
              </w:rPr>
              <w:t>Other revenue</w:t>
            </w:r>
          </w:p>
        </w:tc>
        <w:tc>
          <w:tcPr>
            <w:tcW w:type="dxa" w:w="2412"/>
          </w:tcPr>
          <w:p>
            <w:pPr>
              <w:jc w:val="right"/>
            </w:pPr>
            <w:r>
              <w:rPr>
                <w:sz w:val="19"/>
              </w:rPr>
            </w:r>
            <w:r>
              <w:rPr>
                <w:sz w:val="19"/>
              </w:rPr>
              <w:t>57.3</w:t>
            </w:r>
          </w:p>
        </w:tc>
        <w:tc>
          <w:tcPr>
            <w:tcW w:type="dxa" w:w="2412"/>
          </w:tcPr>
          <w:p>
            <w:pPr>
              <w:jc w:val="right"/>
            </w:pPr>
            <w:r>
              <w:rPr>
                <w:sz w:val="19"/>
              </w:rPr>
            </w:r>
            <w:r>
              <w:rPr>
                <w:sz w:val="19"/>
              </w:rPr>
              <w:t>67.4</w:t>
            </w:r>
          </w:p>
        </w:tc>
        <w:tc>
          <w:tcPr>
            <w:tcW w:type="dxa" w:w="2412"/>
          </w:tcPr>
          <w:p>
            <w:pPr>
              <w:jc w:val="right"/>
            </w:pPr>
            <w:r>
              <w:rPr>
                <w:sz w:val="19"/>
              </w:rPr>
            </w:r>
            <w:r>
              <w:rPr>
                <w:sz w:val="19"/>
              </w:rPr>
              <w:t>+17.6%</w:t>
            </w:r>
          </w:p>
        </w:tc>
      </w:tr>
      <w:tr>
        <w:tc>
          <w:tcPr>
            <w:tcW w:type="dxa" w:w="2412"/>
          </w:tcPr>
          <w:p>
            <w:r>
              <w:rPr>
                <w:sz w:val="19"/>
              </w:rPr>
            </w:r>
            <w:r>
              <w:rPr>
                <w:b/>
                <w:sz w:val="19"/>
              </w:rPr>
              <w:t>Total revenue</w:t>
            </w:r>
          </w:p>
        </w:tc>
        <w:tc>
          <w:tcPr>
            <w:tcW w:type="dxa" w:w="2412"/>
          </w:tcPr>
          <w:p>
            <w:pPr>
              <w:jc w:val="right"/>
            </w:pPr>
            <w:r>
              <w:rPr>
                <w:sz w:val="19"/>
              </w:rPr>
            </w:r>
            <w:r>
              <w:rPr>
                <w:b/>
                <w:sz w:val="19"/>
              </w:rPr>
              <w:t>2,131.4</w:t>
            </w:r>
          </w:p>
        </w:tc>
        <w:tc>
          <w:tcPr>
            <w:tcW w:type="dxa" w:w="2412"/>
          </w:tcPr>
          <w:p>
            <w:pPr>
              <w:jc w:val="right"/>
            </w:pPr>
            <w:r>
              <w:rPr>
                <w:sz w:val="19"/>
              </w:rPr>
            </w:r>
            <w:r>
              <w:rPr>
                <w:b/>
                <w:sz w:val="19"/>
              </w:rPr>
              <w:t>2,293.6</w:t>
            </w:r>
          </w:p>
        </w:tc>
        <w:tc>
          <w:tcPr>
            <w:tcW w:type="dxa" w:w="2412"/>
          </w:tcPr>
          <w:p>
            <w:pPr>
              <w:jc w:val="right"/>
            </w:pPr>
            <w:r>
              <w:rPr>
                <w:sz w:val="19"/>
              </w:rPr>
            </w:r>
            <w:r>
              <w:rPr>
                <w:b/>
                <w:sz w:val="19"/>
              </w:rPr>
              <w:t>+7.6%</w:t>
            </w:r>
          </w:p>
        </w:tc>
      </w:tr>
      <w:tr>
        <w:tc>
          <w:tcPr>
            <w:tcW w:type="dxa" w:w="2412"/>
          </w:tcPr>
          <w:p>
            <w:r>
              <w:rPr>
                <w:sz w:val="19"/>
              </w:rPr>
            </w:r>
            <w:r>
              <w:rPr>
                <w:sz w:val="19"/>
              </w:rPr>
              <w:t>Gross profit</w:t>
            </w:r>
          </w:p>
        </w:tc>
        <w:tc>
          <w:tcPr>
            <w:tcW w:type="dxa" w:w="2412"/>
          </w:tcPr>
          <w:p>
            <w:pPr>
              <w:jc w:val="right"/>
            </w:pPr>
            <w:r>
              <w:rPr>
                <w:sz w:val="19"/>
              </w:rPr>
            </w:r>
            <w:r>
              <w:rPr>
                <w:sz w:val="19"/>
              </w:rPr>
              <w:t>1,202.2</w:t>
            </w:r>
          </w:p>
        </w:tc>
        <w:tc>
          <w:tcPr>
            <w:tcW w:type="dxa" w:w="2412"/>
          </w:tcPr>
          <w:p>
            <w:pPr>
              <w:jc w:val="right"/>
            </w:pPr>
            <w:r>
              <w:rPr>
                <w:sz w:val="19"/>
              </w:rPr>
            </w:r>
            <w:r>
              <w:rPr>
                <w:sz w:val="19"/>
              </w:rPr>
              <w:t>1,253.8</w:t>
            </w:r>
          </w:p>
        </w:tc>
        <w:tc>
          <w:tcPr>
            <w:tcW w:type="dxa" w:w="2412"/>
          </w:tcPr>
          <w:p>
            <w:pPr>
              <w:jc w:val="right"/>
            </w:pPr>
            <w:r>
              <w:rPr>
                <w:sz w:val="19"/>
              </w:rPr>
            </w:r>
            <w:r>
              <w:rPr>
                <w:sz w:val="19"/>
              </w:rPr>
              <w:t>+4.3%</w:t>
            </w:r>
          </w:p>
        </w:tc>
      </w:tr>
      <w:tr>
        <w:tc>
          <w:tcPr>
            <w:tcW w:type="dxa" w:w="2412"/>
          </w:tcPr>
          <w:p>
            <w:r>
              <w:rPr>
                <w:sz w:val="19"/>
              </w:rPr>
            </w:r>
            <w:r>
              <w:rPr>
                <w:sz w:val="19"/>
              </w:rPr>
              <w:t>Gain on disposal of investment property</w:t>
            </w:r>
          </w:p>
        </w:tc>
        <w:tc>
          <w:tcPr>
            <w:tcW w:type="dxa" w:w="2412"/>
          </w:tcPr>
          <w:p>
            <w:pPr>
              <w:jc w:val="right"/>
            </w:pPr>
            <w:r>
              <w:rPr>
                <w:sz w:val="19"/>
              </w:rPr>
            </w:r>
            <w:r>
              <w:rPr>
                <w:sz w:val="19"/>
              </w:rPr>
              <w:t>0.1</w:t>
            </w:r>
          </w:p>
        </w:tc>
        <w:tc>
          <w:tcPr>
            <w:tcW w:type="dxa" w:w="2412"/>
          </w:tcPr>
          <w:p>
            <w:pPr>
              <w:jc w:val="right"/>
            </w:pPr>
            <w:r>
              <w:rPr>
                <w:sz w:val="19"/>
              </w:rPr>
            </w:r>
            <w:r>
              <w:rPr>
                <w:sz w:val="19"/>
              </w:rPr>
              <w:t>184.8</w:t>
            </w:r>
          </w:p>
        </w:tc>
        <w:tc>
          <w:tcPr>
            <w:tcW w:type="dxa" w:w="2412"/>
          </w:tcPr>
          <w:p>
            <w:pPr>
              <w:jc w:val="right"/>
            </w:pPr>
            <w:r>
              <w:rPr>
                <w:sz w:val="19"/>
              </w:rPr>
            </w:r>
            <w:r>
              <w:rPr>
                <w:sz w:val="19"/>
              </w:rPr>
              <w:t>n.m.</w:t>
            </w:r>
          </w:p>
        </w:tc>
      </w:tr>
      <w:tr>
        <w:tc>
          <w:tcPr>
            <w:tcW w:type="dxa" w:w="2412"/>
          </w:tcPr>
          <w:p>
            <w:r>
              <w:rPr>
                <w:sz w:val="19"/>
              </w:rPr>
            </w:r>
            <w:r>
              <w:rPr>
                <w:sz w:val="19"/>
              </w:rPr>
              <w:t>Net financial income</w:t>
            </w:r>
          </w:p>
        </w:tc>
        <w:tc>
          <w:tcPr>
            <w:tcW w:type="dxa" w:w="2412"/>
          </w:tcPr>
          <w:p>
            <w:pPr>
              <w:jc w:val="right"/>
            </w:pPr>
            <w:r>
              <w:rPr>
                <w:sz w:val="19"/>
              </w:rPr>
            </w:r>
            <w:r>
              <w:rPr>
                <w:sz w:val="19"/>
              </w:rPr>
              <w:t>~138</w:t>
            </w:r>
          </w:p>
        </w:tc>
        <w:tc>
          <w:tcPr>
            <w:tcW w:type="dxa" w:w="2412"/>
          </w:tcPr>
          <w:p>
            <w:pPr>
              <w:jc w:val="right"/>
            </w:pPr>
            <w:r>
              <w:rPr>
                <w:sz w:val="19"/>
              </w:rPr>
            </w:r>
            <w:r>
              <w:rPr>
                <w:sz w:val="19"/>
              </w:rPr>
              <w:t>~280</w:t>
            </w:r>
          </w:p>
        </w:tc>
        <w:tc>
          <w:tcPr>
            <w:tcW w:type="dxa" w:w="2412"/>
          </w:tcPr>
          <w:p>
            <w:pPr>
              <w:jc w:val="right"/>
            </w:pPr>
            <w:r>
              <w:rPr>
                <w:sz w:val="19"/>
              </w:rPr>
            </w:r>
            <w:r>
              <w:rPr>
                <w:sz w:val="19"/>
              </w:rPr>
              <w:t>—</w:t>
            </w:r>
          </w:p>
        </w:tc>
      </w:tr>
      <w:tr>
        <w:tc>
          <w:tcPr>
            <w:tcW w:type="dxa" w:w="2412"/>
          </w:tcPr>
          <w:p>
            <w:r>
              <w:rPr>
                <w:sz w:val="19"/>
              </w:rPr>
            </w:r>
            <w:r>
              <w:rPr>
                <w:sz w:val="19"/>
              </w:rPr>
              <w:t>— of which financial gain</w:t>
            </w:r>
          </w:p>
        </w:tc>
        <w:tc>
          <w:tcPr>
            <w:tcW w:type="dxa" w:w="2412"/>
          </w:tcPr>
          <w:p>
            <w:pPr>
              <w:jc w:val="right"/>
            </w:pPr>
            <w:r>
              <w:rPr>
                <w:sz w:val="19"/>
              </w:rPr>
            </w:r>
            <w:r>
              <w:rPr>
                <w:sz w:val="19"/>
              </w:rPr>
              <w:t>382.4</w:t>
            </w:r>
          </w:p>
        </w:tc>
        <w:tc>
          <w:tcPr>
            <w:tcW w:type="dxa" w:w="2412"/>
          </w:tcPr>
          <w:p>
            <w:pPr>
              <w:jc w:val="right"/>
            </w:pPr>
            <w:r>
              <w:rPr>
                <w:sz w:val="19"/>
              </w:rPr>
            </w:r>
            <w:r>
              <w:rPr>
                <w:sz w:val="19"/>
              </w:rPr>
              <w:t>630.5</w:t>
            </w:r>
          </w:p>
        </w:tc>
        <w:tc>
          <w:tcPr>
            <w:tcW w:type="dxa" w:w="2412"/>
          </w:tcPr>
          <w:p>
            <w:pPr>
              <w:jc w:val="right"/>
            </w:pPr>
            <w:r>
              <w:rPr>
                <w:sz w:val="19"/>
              </w:rPr>
            </w:r>
            <w:r>
              <w:rPr>
                <w:sz w:val="19"/>
              </w:rPr>
              <w:t>+64.9%</w:t>
            </w:r>
          </w:p>
        </w:tc>
      </w:tr>
      <w:tr>
        <w:tc>
          <w:tcPr>
            <w:tcW w:type="dxa" w:w="2412"/>
          </w:tcPr>
          <w:p>
            <w:r>
              <w:rPr>
                <w:sz w:val="19"/>
              </w:rPr>
            </w:r>
            <w:r>
              <w:rPr>
                <w:sz w:val="19"/>
              </w:rPr>
              <w:t>EBITDA</w:t>
            </w:r>
          </w:p>
        </w:tc>
        <w:tc>
          <w:tcPr>
            <w:tcW w:type="dxa" w:w="2412"/>
          </w:tcPr>
          <w:p>
            <w:pPr>
              <w:jc w:val="right"/>
            </w:pPr>
            <w:r>
              <w:rPr>
                <w:sz w:val="19"/>
              </w:rPr>
            </w:r>
            <w:r>
              <w:rPr>
                <w:sz w:val="19"/>
              </w:rPr>
              <w:t>1,376.0</w:t>
            </w:r>
          </w:p>
        </w:tc>
        <w:tc>
          <w:tcPr>
            <w:tcW w:type="dxa" w:w="2412"/>
          </w:tcPr>
          <w:p>
            <w:pPr>
              <w:jc w:val="right"/>
            </w:pPr>
            <w:r>
              <w:rPr>
                <w:sz w:val="19"/>
              </w:rPr>
            </w:r>
            <w:r>
              <w:rPr>
                <w:sz w:val="19"/>
              </w:rPr>
              <w:t>1,435.0</w:t>
            </w:r>
          </w:p>
        </w:tc>
        <w:tc>
          <w:tcPr>
            <w:tcW w:type="dxa" w:w="2412"/>
          </w:tcPr>
          <w:p>
            <w:pPr>
              <w:jc w:val="right"/>
            </w:pPr>
            <w:r>
              <w:rPr>
                <w:sz w:val="19"/>
              </w:rPr>
            </w:r>
            <w:r>
              <w:rPr>
                <w:sz w:val="19"/>
              </w:rPr>
              <w:t>+4.3%</w:t>
            </w:r>
          </w:p>
        </w:tc>
      </w:tr>
      <w:tr>
        <w:tc>
          <w:tcPr>
            <w:tcW w:type="dxa" w:w="2412"/>
          </w:tcPr>
          <w:p>
            <w:r>
              <w:rPr>
                <w:sz w:val="19"/>
              </w:rPr>
            </w:r>
            <w:r>
              <w:rPr>
                <w:b/>
                <w:sz w:val="19"/>
              </w:rPr>
              <w:t>Profit before tax</w:t>
            </w:r>
          </w:p>
        </w:tc>
        <w:tc>
          <w:tcPr>
            <w:tcW w:type="dxa" w:w="2412"/>
          </w:tcPr>
          <w:p>
            <w:pPr>
              <w:jc w:val="right"/>
            </w:pPr>
            <w:r>
              <w:rPr>
                <w:sz w:val="19"/>
              </w:rPr>
            </w:r>
            <w:r>
              <w:rPr>
                <w:b/>
                <w:sz w:val="19"/>
              </w:rPr>
              <w:t>1,476.0</w:t>
            </w:r>
          </w:p>
        </w:tc>
        <w:tc>
          <w:tcPr>
            <w:tcW w:type="dxa" w:w="2412"/>
          </w:tcPr>
          <w:p>
            <w:pPr>
              <w:jc w:val="right"/>
            </w:pPr>
            <w:r>
              <w:rPr>
                <w:sz w:val="19"/>
              </w:rPr>
            </w:r>
            <w:r>
              <w:rPr>
                <w:b/>
                <w:sz w:val="19"/>
              </w:rPr>
              <w:t>1,999.5</w:t>
            </w:r>
          </w:p>
        </w:tc>
        <w:tc>
          <w:tcPr>
            <w:tcW w:type="dxa" w:w="2412"/>
          </w:tcPr>
          <w:p>
            <w:pPr>
              <w:jc w:val="right"/>
            </w:pPr>
            <w:r>
              <w:rPr>
                <w:sz w:val="19"/>
              </w:rPr>
            </w:r>
            <w:r>
              <w:rPr>
                <w:b/>
                <w:sz w:val="19"/>
              </w:rPr>
              <w:t>+35.5%</w:t>
            </w:r>
          </w:p>
        </w:tc>
      </w:tr>
      <w:tr>
        <w:tc>
          <w:tcPr>
            <w:tcW w:type="dxa" w:w="2412"/>
          </w:tcPr>
          <w:p>
            <w:r>
              <w:rPr>
                <w:sz w:val="19"/>
              </w:rPr>
            </w:r>
            <w:r>
              <w:rPr>
                <w:b/>
                <w:sz w:val="19"/>
              </w:rPr>
              <w:t>NPAT (attributable)</w:t>
            </w:r>
          </w:p>
        </w:tc>
        <w:tc>
          <w:tcPr>
            <w:tcW w:type="dxa" w:w="2412"/>
          </w:tcPr>
          <w:p>
            <w:pPr>
              <w:jc w:val="right"/>
            </w:pPr>
            <w:r>
              <w:rPr>
                <w:sz w:val="19"/>
              </w:rPr>
            </w:r>
            <w:r>
              <w:rPr>
                <w:b/>
                <w:sz w:val="19"/>
              </w:rPr>
              <w:t>1,177.4</w:t>
            </w:r>
          </w:p>
        </w:tc>
        <w:tc>
          <w:tcPr>
            <w:tcW w:type="dxa" w:w="2412"/>
          </w:tcPr>
          <w:p>
            <w:pPr>
              <w:jc w:val="right"/>
            </w:pPr>
            <w:r>
              <w:rPr>
                <w:sz w:val="19"/>
              </w:rPr>
            </w:r>
            <w:r>
              <w:rPr>
                <w:b/>
                <w:sz w:val="19"/>
              </w:rPr>
              <w:t>1,606.3</w:t>
            </w:r>
          </w:p>
        </w:tc>
        <w:tc>
          <w:tcPr>
            <w:tcW w:type="dxa" w:w="2412"/>
          </w:tcPr>
          <w:p>
            <w:pPr>
              <w:jc w:val="right"/>
            </w:pPr>
            <w:r>
              <w:rPr>
                <w:sz w:val="19"/>
              </w:rPr>
            </w:r>
            <w:r>
              <w:rPr>
                <w:b/>
                <w:sz w:val="19"/>
              </w:rPr>
              <w:t>+36.4%</w:t>
            </w:r>
          </w:p>
        </w:tc>
      </w:tr>
    </w:tbl>
    <w:p>
      <w:pPr>
        <w:spacing w:after="40"/>
      </w:pPr>
    </w:p>
    <w:p>
      <w:pPr>
        <w:spacing w:after="120"/>
      </w:pPr>
      <w:r>
        <w:rPr>
          <w:b/>
        </w:rPr>
        <w:t>Quality of the result.</w:t>
      </w:r>
      <w:r>
        <w:t xml:space="preserve"> Revenue growth of +7.6% is solid and clean — driven by the leasing line (+9.0%, or +11.8% like-for-like ex-NCT) on higher occupancy and GFA, partly offset by the near-absence of shophouse sales. Gross profit grew a more modest +4.3% (margin ~54.7% vs ~56.4% a year earlier), as higher energy and operating costs at recently opened malls weighed; the leasing NOI margin eased to 70.4% from 73.2% for the same reason. Reported adjusted revenue of VND2,574bn (+20.7%) includes a VND280bn investment-property sale already embedded in full-year guidance.</w:t>
      </w:r>
    </w:p>
    <w:p>
      <w:pPr>
        <w:spacing w:after="120"/>
      </w:pPr>
      <w:r>
        <w:t xml:space="preserve">The eye-catching </w:t>
      </w:r>
      <w:r>
        <w:rPr>
          <w:b/>
        </w:rPr>
        <w:t>+35–36% growth in PBT and net profit is therefore not an operating result</w:t>
      </w:r>
      <w:r>
        <w:t xml:space="preserve"> — it is the product of three below-the-line items: the VND184.8bn disposal gain, the +64.9% surge in financial gain to VND630.5bn (related-party deposit interest), and continued tight SG&amp;A. EBITDA, the cleaner read of operating performance, grew only </w:t>
      </w:r>
      <w:r>
        <w:rPr>
          <w:b/>
        </w:rPr>
        <w:t>+4.3% to VND1,435bn</w:t>
      </w:r>
      <w:r>
        <w:t>. In short, the core leasing engine is compounding at a healthy high-single-digit rate, while the reported bottom line is amplified by financial income and one-offs. We model 2026 as a transition year in which these one-offs fade and financial income normalises toward ~VND1.9tn, so headline profit growth should decelerate even as core leasing keeps rising — a dynamic investors anchored to the reported +36% should not extrapolate.</w:t>
      </w:r>
    </w:p>
    <w:p>
      <w:pPr>
        <w:spacing w:before="160" w:after="60"/>
      </w:pPr>
      <w:r>
        <w:rPr>
          <w:b/>
          <w:color w:val="1F3A5F"/>
          <w:sz w:val="25"/>
        </w:rPr>
        <w:t>4. Balance sheet — summary and analysis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fill="1F3A5F"/>
          </w:tcPr>
          <w:p>
            <w:r>
              <w:rPr>
                <w:b/>
                <w:color w:val="FFFFFF"/>
                <w:sz w:val="19"/>
              </w:rPr>
            </w:r>
            <w:r>
              <w:rPr>
                <w:b/>
                <w:color w:val="FFFFFF"/>
                <w:sz w:val="19"/>
              </w:rPr>
              <w:t>VND bn</w:t>
            </w:r>
          </w:p>
        </w:tc>
        <w:tc>
          <w:tcPr>
            <w:tcW w:type="dxa" w:w="3216"/>
            <w:shd w:val="clear" w:fill="1F3A5F"/>
          </w:tcPr>
          <w:p>
            <w:r>
              <w:rPr>
                <w:b/>
                <w:color w:val="FFFFFF"/>
                <w:sz w:val="19"/>
              </w:rPr>
            </w:r>
            <w:r>
              <w:rPr>
                <w:b/>
                <w:color w:val="FFFFFF"/>
                <w:sz w:val="19"/>
              </w:rPr>
              <w:t>31 Dec 2025</w:t>
            </w:r>
          </w:p>
        </w:tc>
        <w:tc>
          <w:tcPr>
            <w:tcW w:type="dxa" w:w="3216"/>
            <w:shd w:val="clear" w:fill="1F3A5F"/>
          </w:tcPr>
          <w:p>
            <w:r>
              <w:rPr>
                <w:b/>
                <w:color w:val="FFFFFF"/>
                <w:sz w:val="19"/>
              </w:rPr>
            </w:r>
            <w:r>
              <w:rPr>
                <w:b/>
                <w:color w:val="FFFFFF"/>
                <w:sz w:val="19"/>
              </w:rPr>
              <w:t>31 Mar 2026</w:t>
            </w:r>
          </w:p>
        </w:tc>
      </w:tr>
      <w:tr>
        <w:tc>
          <w:tcPr>
            <w:tcW w:type="dxa" w:w="3216"/>
          </w:tcPr>
          <w:p>
            <w:r>
              <w:rPr>
                <w:sz w:val="19"/>
              </w:rPr>
            </w:r>
            <w:r>
              <w:rPr>
                <w:sz w:val="19"/>
              </w:rPr>
              <w:t>Total assets</w:t>
            </w:r>
          </w:p>
        </w:tc>
        <w:tc>
          <w:tcPr>
            <w:tcW w:type="dxa" w:w="3216"/>
          </w:tcPr>
          <w:p>
            <w:pPr>
              <w:jc w:val="right"/>
            </w:pPr>
            <w:r>
              <w:rPr>
                <w:sz w:val="19"/>
              </w:rPr>
            </w:r>
            <w:r>
              <w:rPr>
                <w:sz w:val="19"/>
              </w:rPr>
              <w:t>61,279</w:t>
            </w:r>
          </w:p>
        </w:tc>
        <w:tc>
          <w:tcPr>
            <w:tcW w:type="dxa" w:w="3216"/>
          </w:tcPr>
          <w:p>
            <w:pPr>
              <w:jc w:val="right"/>
            </w:pPr>
            <w:r>
              <w:rPr>
                <w:sz w:val="19"/>
              </w:rPr>
            </w:r>
            <w:r>
              <w:rPr>
                <w:sz w:val="19"/>
              </w:rPr>
              <w:t>60,963</w:t>
            </w:r>
          </w:p>
        </w:tc>
      </w:tr>
      <w:tr>
        <w:tc>
          <w:tcPr>
            <w:tcW w:type="dxa" w:w="3216"/>
          </w:tcPr>
          <w:p>
            <w:r>
              <w:rPr>
                <w:sz w:val="19"/>
              </w:rPr>
            </w:r>
            <w:r>
              <w:rPr>
                <w:sz w:val="19"/>
              </w:rPr>
              <w:t>Investment property + IP under construction</w:t>
            </w:r>
          </w:p>
        </w:tc>
        <w:tc>
          <w:tcPr>
            <w:tcW w:type="dxa" w:w="3216"/>
          </w:tcPr>
          <w:p>
            <w:pPr>
              <w:jc w:val="right"/>
            </w:pPr>
            <w:r>
              <w:rPr>
                <w:sz w:val="19"/>
              </w:rPr>
            </w:r>
            <w:r>
              <w:rPr>
                <w:sz w:val="19"/>
              </w:rPr>
              <w:t>~27,500</w:t>
            </w:r>
          </w:p>
        </w:tc>
        <w:tc>
          <w:tcPr>
            <w:tcW w:type="dxa" w:w="3216"/>
          </w:tcPr>
          <w:p>
            <w:pPr>
              <w:jc w:val="right"/>
            </w:pPr>
            <w:r>
              <w:rPr>
                <w:sz w:val="19"/>
              </w:rPr>
            </w:r>
            <w:r>
              <w:rPr>
                <w:sz w:val="19"/>
              </w:rPr>
              <w:t>27,180</w:t>
            </w:r>
          </w:p>
        </w:tc>
      </w:tr>
      <w:tr>
        <w:tc>
          <w:tcPr>
            <w:tcW w:type="dxa" w:w="3216"/>
          </w:tcPr>
          <w:p>
            <w:r>
              <w:rPr>
                <w:sz w:val="19"/>
              </w:rPr>
            </w:r>
            <w:r>
              <w:rPr>
                <w:sz w:val="19"/>
              </w:rPr>
              <w:t>Cash &amp; equivalents</w:t>
            </w:r>
          </w:p>
        </w:tc>
        <w:tc>
          <w:tcPr>
            <w:tcW w:type="dxa" w:w="3216"/>
          </w:tcPr>
          <w:p>
            <w:pPr>
              <w:jc w:val="right"/>
            </w:pPr>
            <w:r>
              <w:rPr>
                <w:sz w:val="19"/>
              </w:rPr>
            </w:r>
            <w:r>
              <w:rPr>
                <w:sz w:val="19"/>
              </w:rPr>
              <w:t>~4,435</w:t>
            </w:r>
          </w:p>
        </w:tc>
        <w:tc>
          <w:tcPr>
            <w:tcW w:type="dxa" w:w="3216"/>
          </w:tcPr>
          <w:p>
            <w:pPr>
              <w:jc w:val="right"/>
            </w:pPr>
            <w:r>
              <w:rPr>
                <w:sz w:val="19"/>
              </w:rPr>
            </w:r>
            <w:r>
              <w:rPr>
                <w:sz w:val="19"/>
              </w:rPr>
              <w:t>3,936</w:t>
            </w:r>
          </w:p>
        </w:tc>
      </w:tr>
      <w:tr>
        <w:tc>
          <w:tcPr>
            <w:tcW w:type="dxa" w:w="3216"/>
          </w:tcPr>
          <w:p>
            <w:r>
              <w:rPr>
                <w:sz w:val="19"/>
              </w:rPr>
            </w:r>
            <w:r>
              <w:rPr>
                <w:sz w:val="19"/>
              </w:rPr>
              <w:t>Borrowings &amp; bonds</w:t>
            </w:r>
          </w:p>
        </w:tc>
        <w:tc>
          <w:tcPr>
            <w:tcW w:type="dxa" w:w="3216"/>
          </w:tcPr>
          <w:p>
            <w:pPr>
              <w:jc w:val="right"/>
            </w:pPr>
            <w:r>
              <w:rPr>
                <w:sz w:val="19"/>
              </w:rPr>
            </w:r>
            <w:r>
              <w:rPr>
                <w:sz w:val="19"/>
              </w:rPr>
              <w:t>6,401</w:t>
            </w:r>
          </w:p>
        </w:tc>
        <w:tc>
          <w:tcPr>
            <w:tcW w:type="dxa" w:w="3216"/>
          </w:tcPr>
          <w:p>
            <w:pPr>
              <w:jc w:val="right"/>
            </w:pPr>
            <w:r>
              <w:rPr>
                <w:sz w:val="19"/>
              </w:rPr>
            </w:r>
            <w:r>
              <w:rPr>
                <w:sz w:val="19"/>
              </w:rPr>
              <w:t>7,117</w:t>
            </w:r>
          </w:p>
        </w:tc>
      </w:tr>
      <w:tr>
        <w:tc>
          <w:tcPr>
            <w:tcW w:type="dxa" w:w="3216"/>
          </w:tcPr>
          <w:p>
            <w:r>
              <w:rPr>
                <w:sz w:val="19"/>
              </w:rPr>
            </w:r>
            <w:r>
              <w:rPr>
                <w:sz w:val="19"/>
              </w:rPr>
              <w:t>Owners' equity</w:t>
            </w:r>
          </w:p>
        </w:tc>
        <w:tc>
          <w:tcPr>
            <w:tcW w:type="dxa" w:w="3216"/>
          </w:tcPr>
          <w:p>
            <w:pPr>
              <w:jc w:val="right"/>
            </w:pPr>
            <w:r>
              <w:rPr>
                <w:sz w:val="19"/>
              </w:rPr>
            </w:r>
            <w:r>
              <w:rPr>
                <w:sz w:val="19"/>
              </w:rPr>
              <w:t>48,368</w:t>
            </w:r>
          </w:p>
        </w:tc>
        <w:tc>
          <w:tcPr>
            <w:tcW w:type="dxa" w:w="3216"/>
          </w:tcPr>
          <w:p>
            <w:pPr>
              <w:jc w:val="right"/>
            </w:pPr>
            <w:r>
              <w:rPr>
                <w:sz w:val="19"/>
              </w:rPr>
            </w:r>
            <w:r>
              <w:rPr>
                <w:sz w:val="19"/>
              </w:rPr>
              <w:t>49,974</w:t>
            </w:r>
          </w:p>
        </w:tc>
      </w:tr>
      <w:tr>
        <w:tc>
          <w:tcPr>
            <w:tcW w:type="dxa" w:w="3216"/>
          </w:tcPr>
          <w:p>
            <w:r>
              <w:rPr>
                <w:sz w:val="19"/>
              </w:rPr>
            </w:r>
            <w:r>
              <w:rPr>
                <w:sz w:val="19"/>
              </w:rPr>
              <w:t>Net debt / equity</w:t>
            </w:r>
          </w:p>
        </w:tc>
        <w:tc>
          <w:tcPr>
            <w:tcW w:type="dxa" w:w="3216"/>
          </w:tcPr>
          <w:p>
            <w:pPr>
              <w:jc w:val="right"/>
            </w:pPr>
            <w:r>
              <w:rPr>
                <w:sz w:val="19"/>
              </w:rPr>
            </w:r>
            <w:r>
              <w:rPr>
                <w:sz w:val="19"/>
              </w:rPr>
              <w:t>~3.8%</w:t>
            </w:r>
          </w:p>
        </w:tc>
        <w:tc>
          <w:tcPr>
            <w:tcW w:type="dxa" w:w="3216"/>
          </w:tcPr>
          <w:p>
            <w:pPr>
              <w:jc w:val="right"/>
            </w:pPr>
            <w:r>
              <w:rPr>
                <w:sz w:val="19"/>
              </w:rPr>
            </w:r>
            <w:r>
              <w:rPr>
                <w:sz w:val="19"/>
              </w:rPr>
              <w:t>4.9%</w:t>
            </w:r>
          </w:p>
        </w:tc>
      </w:tr>
    </w:tbl>
    <w:p>
      <w:pPr>
        <w:spacing w:after="40"/>
      </w:pPr>
    </w:p>
    <w:p>
      <w:pPr>
        <w:spacing w:after="120"/>
      </w:pPr>
      <w:r>
        <w:rPr>
          <w:b/>
        </w:rPr>
        <w:t>Strength and structure.</w:t>
      </w:r>
      <w:r>
        <w:t xml:space="preserve"> VRE's balance sheet remains among the strongest in Vietnamese real estate. Equity rose to </w:t>
      </w:r>
      <w:r>
        <w:rPr>
          <w:b/>
        </w:rPr>
        <w:t>VND49,974bn</w:t>
      </w:r>
      <w:r>
        <w:t xml:space="preserve"> on retained 1Q26 earnings (no dividend is paid), total assets were broadly stable at </w:t>
      </w:r>
      <w:r>
        <w:rPr>
          <w:b/>
        </w:rPr>
        <w:t>VND60,963bn</w:t>
      </w:r>
      <w:r>
        <w:t xml:space="preserve">, and gross borrowings of </w:t>
      </w:r>
      <w:r>
        <w:rPr>
          <w:b/>
        </w:rPr>
        <w:t>VND7,117bn</w:t>
      </w:r>
      <w:r>
        <w:t xml:space="preserve"> leave </w:t>
      </w:r>
      <w:r>
        <w:rPr>
          <w:b/>
        </w:rPr>
        <w:t>net debt/equity at just 4.9%</w:t>
      </w:r>
      <w:r>
        <w:t xml:space="preserve"> — effectively a net-cash posture. Interest coverage runs comfortably above 6x and the company has very large untapped debt capacity, which is why management can fund the ~214,000 m² Mega-Mall pipeline through internal cash flow and modest new debt without equity issuance or shareholder dilution.</w:t>
      </w:r>
    </w:p>
    <w:p>
      <w:pPr>
        <w:spacing w:after="120"/>
      </w:pPr>
      <w:r>
        <w:rPr>
          <w:b/>
        </w:rPr>
        <w:t>What sits inside the assets.</w:t>
      </w:r>
      <w:r>
        <w:t xml:space="preserve"> The most analytically important point is composition rather than size. Operating investment property and IPUC are ~VND27.2tn — under half of total assets — because a very large balance is held in </w:t>
      </w:r>
      <w:r>
        <w:rPr>
          <w:b/>
        </w:rPr>
        <w:t>cash, short-term investments and long-term deposits/intercompany receivables</w:t>
      </w:r>
      <w:r>
        <w:t xml:space="preserve"> (~VND29tn group-wide, as discussed in Section 2). This is the mechanism behind the high financial income, and it means the balance sheet is part mall-landlord, part intra-group treasury. It also has two practical implications: (i) headline receivables-based ratios (e.g., the ~188-day DSO some screens cite) are distorted by these long-term deposits — trade DSO is far lower, nearer 55 days — so the working-capital position is healthier than it looks; and (ii) reported cash fell to VND3,936bn precisely because funds are being redeployed into higher-yielding related-party deposits and pipeline prepayments rather than because the business is consuming cash.</w:t>
      </w:r>
    </w:p>
    <w:p>
      <w:pPr>
        <w:spacing w:after="120"/>
      </w:pPr>
      <w:r>
        <w:rPr>
          <w:b/>
        </w:rPr>
        <w:t>Hidden value.</w:t>
      </w:r>
      <w:r>
        <w:t xml:space="preserve"> Malls are carried at cost less depreciation, well below market. The NCT divestment — a single asset realising a VND3,630bn price and ~VND1,900bn gain — is concrete evidence that book equity understates NAV, supporting the case that the stock's depressed P/B (near multi-year lows) embeds a margin of safety. A future REIT vehicle or further asset recycling would help crystallise this.</w:t>
      </w:r>
    </w:p>
    <w:p>
      <w:pPr>
        <w:spacing w:after="120"/>
      </w:pPr>
      <w:r>
        <w:rPr>
          <w:b/>
        </w:rPr>
        <w:t>Watch items.</w:t>
      </w:r>
      <w:r>
        <w:t xml:space="preserve"> Cash conversion is the one genuine caution: FY2025 operating cash flow was negative (−VND3.3tn) despite strong EBITDA, as receivables and pipeline prepayments rose; the investment cycle is being funded by asset recycling and debt rather than operating cash. We want to see profit convert to cash more fully through 2026, and we will track the related-party deposit balance and the pace of Vinhomes handovers as the key swing factors.</w:t>
      </w:r>
    </w:p>
    <w:p>
      <w:pPr>
        <w:spacing w:before="160" w:after="60"/>
      </w:pPr>
      <w:r>
        <w:rPr>
          <w:b/>
          <w:color w:val="1F3A5F"/>
          <w:sz w:val="25"/>
        </w:rPr>
        <w:t>5. Valuation and rating</w:t>
      </w:r>
    </w:p>
    <w:p>
      <w:pPr>
        <w:spacing w:after="120"/>
      </w:pPr>
      <w:r>
        <w:t xml:space="preserve">We rate VRE a </w:t>
      </w:r>
      <w:r>
        <w:rPr>
          <w:b/>
        </w:rPr>
        <w:t>BUY</w:t>
      </w:r>
      <w:r>
        <w:t xml:space="preserve"> with a 12-month target price of </w:t>
      </w:r>
      <w:r>
        <w:rPr>
          <w:b/>
        </w:rPr>
        <w:t>VND34,972</w:t>
      </w:r>
      <w:r>
        <w:t xml:space="preserve">, derived from a three-year FCFF DCF (WACC 11% — cost of equity 10% on a 4% risk-free rate, beta 1.0, 5% country risk premium — and a 1% terminal growth rate). The target implies ~1.6x forward P/B, still below the eight-year average of ~1.9x, so the call relies on mean-reversion plus book growth rather than a heroic re-rating; on normalised earnings it also sits broadly in line with regional mall operators (~14–15x P/E). The valuation deliberately excludes the REIT/asset-recycling optionality the NCT sale demonstrated. 1Q26 supports the thesis: the leasing engine is compounding, occupancy and footfall are inflecting, and the de-rating to near-trough P/B looks driven by headline noise (one-offs, financial income) that obscures a durable annuity. </w:t>
      </w:r>
      <w:r>
        <w:rPr>
          <w:b/>
        </w:rPr>
        <w:t>The rating is price-sensitive at current levels</w:t>
      </w:r>
      <w:r>
        <w:t xml:space="preserve"> — against a recent ~VND23,800 spot the implied upside is ~+47% (a clear Buy), but against the ~VND29,600 print from early June it narrows to ~+18% (Trading Buy territory), so the live quote should be confirmed at publication. Two housekeeping caveats: our model still has hygiene items to close before the target is final (a non-functional sensitivity grid, a share-count inconsistency of 2,272m vs 2,328.8m, and version drift on the 2026F topline), and our above-consensus PBT leans partly on the lower-quality related-party financial income discussed in Section 2. We would move to the sidelines if like-for-like footfall turns negative for two quarters, related-party deposits rise materially further without disclosure of terms, or the Mega-Mall pipeline slips beyond 2028.</w:t>
      </w:r>
    </w:p>
    <w:p>
      <w:pPr>
        <w:spacing w:before="40" w:after="40"/>
        <w:pBdr>
          <w:bottom w:val="single" w:sz="6" w:space="1" w:color="BBBBBB"/>
        </w:pBdr>
      </w:pPr>
    </w:p>
    <w:p>
      <w:pPr>
        <w:spacing w:after="120"/>
      </w:pPr>
      <w:r>
        <w:t>*Prepared from VRE's 1Q2026 consolidated financial statements and earnings presentation, the company's prior disclosures, and our financial model. Reported figures are in VAS. This is an analyst review, not the published Mirae house view, pending compliance review.*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