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2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5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816" w:type="dxa"/>
                    <w:tblCellSpacing w:w="0" w:type="dxa"/>
                    <w:tblInd w:w="135" w:type="dxa"/>
                    <w:tblCellMar>
                      <w:left w:w="0" w:type="dxa"/>
                      <w:right w:w="0" w:type="dxa"/>
                    </w:tblCellMar>
                    <w:tblLook w:val="04A0" w:firstRow="1" w:lastRow="0" w:firstColumn="1" w:lastColumn="0" w:noHBand="0" w:noVBand="1"/>
                  </w:tblPr>
                  <w:tblGrid>
                    <w:gridCol w:w="10816"/>
                  </w:tblGrid>
                  <w:tr w:rsidR="0068673E" w:rsidRPr="00037A23" w14:paraId="3F167398" w14:textId="77777777" w:rsidTr="00656A1A">
                    <w:trPr>
                      <w:trHeight w:val="2160"/>
                      <w:tblCellSpacing w:w="0" w:type="dxa"/>
                    </w:trPr>
                    <w:tc>
                      <w:tcPr>
                        <w:tcW w:w="1081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8240"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Good Morning Vietnam</w:t>
                        </w:r>
                      </w:p>
                    </w:tc>
                  </w:tr>
                  <w:tr w:rsidR="0068673E" w:rsidRPr="00037A23" w14:paraId="264EBD13" w14:textId="77777777" w:rsidTr="00656A1A">
                    <w:trPr>
                      <w:trHeight w:val="175"/>
                      <w:tblCellSpacing w:w="0" w:type="dxa"/>
                    </w:trPr>
                    <w:tc>
                      <w:tcPr>
                        <w:tcW w:w="1081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656A1A">
                    <w:trPr>
                      <w:trHeight w:val="227"/>
                      <w:tblCellSpacing w:w="0" w:type="dxa"/>
                    </w:trPr>
                    <w:tc>
                      <w:tcPr>
                        <w:tcW w:w="1081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656A1A">
                    <w:trPr>
                      <w:trHeight w:val="1276"/>
                      <w:tblCellSpacing w:w="0" w:type="dxa"/>
                    </w:trPr>
                    <w:tc>
                      <w:tcPr>
                        <w:tcW w:w="10816" w:type="dxa"/>
                        <w:vAlign w:val="center"/>
                        <w:hideMark/>
                      </w:tcPr>
                      <w:p w14:paraId="2FB3F0F8" w14:textId="3F127541" w:rsidR="003A0F64" w:rsidRDefault="00451926" w:rsidP="00F91733">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451926">
                          <w:rPr>
                            <w:rFonts w:ascii="Noto Sans" w:eastAsia="Times New Roman" w:hAnsi="Noto Sans" w:cs="Noto Sans"/>
                            <w:b/>
                            <w:bCs/>
                            <w:color w:val="1F3864" w:themeColor="accent5" w:themeShade="80"/>
                          </w:rPr>
                          <w:t>Cautious close to Q3</w:t>
                        </w:r>
                        <w:r w:rsidR="003A0F64" w:rsidRPr="003A0F64">
                          <w:rPr>
                            <w:rFonts w:ascii="Noto Sans" w:eastAsia="Times New Roman" w:hAnsi="Noto Sans" w:cs="Noto Sans"/>
                            <w:b/>
                            <w:bCs/>
                            <w:color w:val="1F3864" w:themeColor="accent5" w:themeShade="80"/>
                          </w:rPr>
                        </w:r>
                      </w:p>
                      <w:p w14:paraId="680296AF"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VN-Index opened at 1,780.4pts (+0.0% DoD), hit a high of 1,786.2pts (+0.2% DoD) and a low of 1,759.3pts (-0.7% DoD), and closed at 1,768.6pts (-0.5% DoD). The index drifted sideways near reference through midday before afternoon profit-taking in oil &amp; gas spread to the Vingroup names, briefly dragging it more than 18pts lower and below the 1,770–1,775 support zone; late bottom-fishing recovered about half the loss, but it still closed below support. Oil &amp; gas led the decline — PGD (-6.0%), PVD (-3.4%), GAS (-3.4%), BSR (-2.9%) and PLX (-2.3%) — while VHM (-1.9%) and VIC (-0.9%) fell and VRE edged up. Banks were mixed: VBB (+6.4%), VPB (+2.0%) and both LPB and MSB (up more than 1%) gained, while SSB (-4.5%), STB (-2.4%) and KLB (down more than 2%) fell. PNJ hit the floor for a 3rd straight session and KOS for an 8th, while NVL led turnover with 97mn shares matched (-0.5%). Breadth was negative, with 129 gainers and 178 decliners.</w:t>
                        </w:r>
                      </w:p>
                      <w:p w14:paraId="465BB1C8"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Liquidity reached 650mn shares (+21.0% DoD) and value reached 15,230bn (+23.4% DoD).</w:t>
                        </w:r>
                      </w:p>
                      <w:p w14:paraId="46C02950"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Among VN30 constituents, top gainers were VPB (+2.0%), LPB (+1.2%), CTG (+0.8%), VRE (+0.8%) and MCH (+0.7%), while top losers were SSB (-4.5%), GAS (-3.4%), BSR (-3.4%), STB (-2.4%), and VHM (-1.9%).</w:t>
                        </w:r>
                      </w:p>
                      <w:p w14:paraId="5E56818F" w14:textId="54FDABDE" w:rsidR="001867DE"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Foreign investors were net seller with outflows of VND890bn, including VND997bn in buying (-30% DoD) and VND1887bn in selling (4% DoD). Accordingly:</w:t>
                        </w:r>
                        <w:r w:rsidR="003A0F64" w:rsidRPr="003A0F64">
                          <w:rPr>
                            <w:rFonts w:ascii="Noto Sans" w:hAnsi="Noto Sans" w:cs="Noto Sans"/>
                            <w:lang w:val="en-GB"/>
                          </w:rPr>
                        </w:r>
                        <w:r w:rsidR="003A0F64">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5D81B4EE" w14:textId="4D317F5D"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A92560">
                          <w:rPr>
                            <w:rFonts w:ascii="Noto Sans" w:hAnsi="Noto Sans" w:cs="Noto Sans"/>
                          </w:rPr>
                          <w:t>HDB (VND37bn), FRT (VND33bn), MSN (VND33bn), GEE (VND29bn), DMX (VND26bn).</w:t>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290D254D" w14:textId="6AD5A552"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3A0F64" w:rsidRPr="003A0F64">
                          <w:rPr>
                            <w:rFonts w:ascii="Noto Sans" w:hAnsi="Noto Sans" w:cs="Noto Sans"/>
                          </w:rPr>
                          <w:t>VHM (VND329bn), TCB (VND156bn), VIC (VND82bn), PNJ (VND62bn), VPB (VND57bn).</w:t>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48CD43AB" w14:textId="06B6AC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6ED0F9A3" w14:textId="5A6661AC" w:rsidR="003A0F64" w:rsidRDefault="00443D6B" w:rsidP="00030D34">
                              <w:pPr>
                                <w:jc w:val="both"/>
                                <w:rPr>
                                  <w:rFonts w:ascii="Noto Sans" w:hAnsi="Noto Sans" w:cs="Noto Sans"/>
                                  <w:b/>
                                  <w:bCs/>
                                </w:rPr>
                              </w:pPr>
                              <w:r w:rsidRPr="009749D5">
                                <w:rPr>
                                  <w:rFonts w:ascii="Noto Sans" w:hAnsi="Noto Sans" w:cs="Noto Sans"/>
                                  <w:b/>
                                  <w:bCs/>
                                </w:rPr>
                                <w:lastRenderedPageBreak/>
                                <w:t>»</w:t>
                              </w:r>
                              <w:r>
                                <w:rPr>
                                  <w:rFonts w:ascii="Noto Sans" w:hAnsi="Noto Sans" w:cs="Noto Sans"/>
                                  <w:b/>
                                  <w:bCs/>
                                </w:rPr>
                                <w:t xml:space="preserve"> </w:t>
                              </w:r>
                              <w:r w:rsidR="00A92560" w:rsidRPr="00A92560">
                                <w:rPr>
                                  <w:rFonts w:ascii="Noto Sans" w:hAnsi="Noto Sans" w:cs="Noto Sans"/>
                                  <w:b/>
                                  <w:bCs/>
                                </w:rPr>
                                <w:t>Vietnam’s e-commerce market records strong growth in first half of 2026</w:t>
                              </w:r>
                              <w:r w:rsidR="003A0F64" w:rsidRPr="003A0F64">
                                <w:rPr>
                                  <w:rFonts w:ascii="Noto Sans" w:hAnsi="Noto Sans" w:cs="Noto Sans"/>
                                  <w:b/>
                                  <w:bCs/>
                                </w:rPr>
                              </w:r>
                            </w:p>
                            <w:p w14:paraId="6527DED4" w14:textId="54BFDBA3"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A92560" w:rsidRPr="00A92560">
                                <w:rPr>
                                  <w:rFonts w:ascii="Noto Sans" w:hAnsi="Noto Sans" w:cs="Noto Sans"/>
                                  <w:b/>
                                  <w:bCs/>
                                </w:rPr>
                                <w:t>Vietnam slates US$35bn in PPP capital for 29 priority expressways</w:t>
                              </w:r>
                            </w:p>
                            <w:p w14:paraId="7716EC82" w14:textId="62AF24BF"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3A0F64" w:rsidRPr="003A0F64">
                                <w:rPr>
                                  <w:rFonts w:ascii="Noto Sans" w:hAnsi="Noto Sans" w:cs="Noto Sans"/>
                                  <w:b/>
                                  <w:bCs/>
                                </w:rPr>
                                <w:t>Hanoi leads nation in FDI inflows in 6M with US$3.68bn</w:t>
                              </w:r>
                              <w:r w:rsidR="00A92560"/>
                              <w:r w:rsidR="00A92560" w:rsidRPr="00A92560">
                                <w:rPr>
                                  <w:rFonts w:ascii="Noto Sans" w:hAnsi="Noto Sans" w:cs="Noto Sans"/>
                                  <w:b/>
                                  <w:bCs/>
                                </w:rPr>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3982B94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 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656A1A">
                    <w:trPr>
                      <w:trHeight w:val="276"/>
                      <w:tblCellSpacing w:w="0" w:type="dxa"/>
                    </w:trPr>
                    <w:tc>
                      <w:tcPr>
                        <w:tcW w:w="1081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656A1A">
                    <w:trPr>
                      <w:trHeight w:val="153"/>
                      <w:tblCellSpacing w:w="0" w:type="dxa"/>
                    </w:trPr>
                    <w:tc>
                      <w:tcPr>
                        <w:tcW w:w="1081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F8A9" w14:textId="77777777" w:rsidR="009B725F" w:rsidRDefault="009B725F" w:rsidP="007327C0">
      <w:r>
        <w:separator/>
      </w:r>
    </w:p>
  </w:endnote>
  <w:endnote w:type="continuationSeparator" w:id="0">
    <w:p w14:paraId="0306EBDA" w14:textId="77777777" w:rsidR="009B725F" w:rsidRDefault="009B725F" w:rsidP="007327C0">
      <w:r>
        <w:continuationSeparator/>
      </w:r>
    </w:p>
  </w:endnote>
  <w:endnote w:type="continuationNotice" w:id="1">
    <w:p w14:paraId="0A0CE3EF" w14:textId="77777777" w:rsidR="009B725F" w:rsidRDefault="009B72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23ED" w14:textId="77777777" w:rsidR="009B725F" w:rsidRDefault="009B725F" w:rsidP="007327C0">
      <w:r>
        <w:separator/>
      </w:r>
    </w:p>
  </w:footnote>
  <w:footnote w:type="continuationSeparator" w:id="0">
    <w:p w14:paraId="35057EF8" w14:textId="77777777" w:rsidR="009B725F" w:rsidRDefault="009B725F" w:rsidP="007327C0">
      <w:r>
        <w:continuationSeparator/>
      </w:r>
    </w:p>
  </w:footnote>
  <w:footnote w:type="continuationNotice" w:id="1">
    <w:p w14:paraId="17AB43F3" w14:textId="77777777" w:rsidR="009B725F" w:rsidRDefault="009B72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50B"/>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63D"/>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C90"/>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3B9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D2A"/>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0DC"/>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0F64"/>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1926"/>
    <w:rsid w:val="004521B1"/>
    <w:rsid w:val="00452767"/>
    <w:rsid w:val="00453282"/>
    <w:rsid w:val="0045336C"/>
    <w:rsid w:val="00455BDE"/>
    <w:rsid w:val="00457F7B"/>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6559"/>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6E73"/>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A1A"/>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1F1C"/>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2C6C"/>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42B"/>
    <w:rsid w:val="008B08F5"/>
    <w:rsid w:val="008B0F41"/>
    <w:rsid w:val="008B17F7"/>
    <w:rsid w:val="008B1CA7"/>
    <w:rsid w:val="008B2870"/>
    <w:rsid w:val="008B3DC3"/>
    <w:rsid w:val="008B4E97"/>
    <w:rsid w:val="008B4EDA"/>
    <w:rsid w:val="008B52AE"/>
    <w:rsid w:val="008B5359"/>
    <w:rsid w:val="008B60C9"/>
    <w:rsid w:val="008B76A6"/>
    <w:rsid w:val="008B7714"/>
    <w:rsid w:val="008C0AB2"/>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25F"/>
    <w:rsid w:val="009B7CC2"/>
    <w:rsid w:val="009C003E"/>
    <w:rsid w:val="009C0904"/>
    <w:rsid w:val="009C0A85"/>
    <w:rsid w:val="009C2204"/>
    <w:rsid w:val="009C33E1"/>
    <w:rsid w:val="009C449F"/>
    <w:rsid w:val="009C5522"/>
    <w:rsid w:val="009C6AE0"/>
    <w:rsid w:val="009C740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2560"/>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407"/>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74"/>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348E"/>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4763"/>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47CC7"/>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4260"/>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1733"/>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7052999620-Daily_MAS_202608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HQ 29</cp:lastModifiedBy>
  <cp:revision>2277</cp:revision>
  <cp:lastPrinted>2024-01-30T11:51:00Z</cp:lastPrinted>
  <dcterms:created xsi:type="dcterms:W3CDTF">2018-01-29T01:41:00Z</dcterms:created>
  <dcterms:modified xsi:type="dcterms:W3CDTF">2026-08-18T11:38:00Z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