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line="260"/>
      </w:pPr>
      <w:r>
        <w:rPr>
          <w:rFonts w:ascii="Calibri" w:cs="Calibri" w:eastAsia="Calibri" w:hAnsi="Calibri"/>
          <w:b/>
          <w:bCs/>
          <w:caps/>
          <w:color w:val="595959"/>
          <w:sz w:val="16"/>
          <w:szCs w:val="16"/>
        </w:rPr>
        <w:t xml:space="preserve">Mirae Asset Securities (Vietnam)  ·  Research</w:t>
      </w:r>
    </w:p>
    <w:p>
      <w:pPr>
        <w:spacing w:after="60" w:line="400"/>
      </w:pPr>
      <w:r>
        <w:rPr>
          <w:rFonts w:ascii="Calibri" w:cs="Calibri" w:eastAsia="Calibri" w:hAnsi="Calibri"/>
          <w:b/>
          <w:bCs/>
          <w:color w:val="1F3864"/>
          <w:sz w:val="40"/>
          <w:szCs w:val="40"/>
        </w:rPr>
        <w:t xml:space="preserve">2H26 Equity Outlook — Vietnam</w:t>
      </w:r>
    </w:p>
    <w:p>
      <w:pPr>
        <w:pBdr>
          <w:bottom w:val="single" w:color="1F3864" w:sz="8" w:space="8"/>
        </w:pBdr>
        <w:spacing w:after="200" w:line="300"/>
      </w:pPr>
      <w:r>
        <w:rPr>
          <w:rFonts w:ascii="Calibri" w:cs="Calibri" w:eastAsia="Calibri" w:hAnsi="Calibri"/>
          <w:color w:val="000000"/>
          <w:sz w:val="24"/>
          <w:szCs w:val="24"/>
        </w:rPr>
        <w:t xml:space="preserve">STB · FPT  —  2Q26 results review and forecast revision</w:t>
      </w:r>
    </w:p>
    <w:p>
      <w:pPr>
        <w:spacing w:after="300" w:line="260"/>
      </w:pPr>
      <w:r>
        <w:rPr>
          <w:rFonts w:ascii="Calibri" w:cs="Calibri" w:eastAsia="Calibri" w:hAnsi="Calibri"/>
          <w:color w:val="595959"/>
          <w:sz w:val="18"/>
          <w:szCs w:val="18"/>
        </w:rPr>
        <w:t xml:space="preserve">4 August 2026</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1600"/>
        <w:gridCol w:w="2123"/>
        <w:gridCol w:w="2123"/>
        <w:gridCol w:w="2123"/>
        <w:gridCol w:w="2124"/>
      </w:tblGrid>
      <w:tr>
        <w:trPr>
          <w:tblHeader/>
        </w:trPr>
        <w:tc>
          <w:tcPr>
            <w:tcW w:type="dxa" w:w="16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left"/>
            </w:pPr>
            <w:r>
              <w:rPr>
                <w:rFonts w:ascii="Calibri" w:cs="Calibri" w:eastAsia="Calibri" w:hAnsi="Calibri"/>
                <w:b/>
                <w:bCs/>
                <w:color w:val="FFFFFF"/>
                <w:sz w:val="17"/>
                <w:szCs w:val="17"/>
              </w:rPr>
              <w:t xml:space="preserve">Ticker</w:t>
            </w:r>
          </w:p>
        </w:tc>
        <w:tc>
          <w:tcPr>
            <w:tcW w:type="dxa" w:w="212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Rating</w:t>
            </w:r>
          </w:p>
        </w:tc>
        <w:tc>
          <w:tcPr>
            <w:tcW w:type="dxa" w:w="212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Target price (VND)</w:t>
            </w:r>
          </w:p>
        </w:tc>
        <w:tc>
          <w:tcPr>
            <w:tcW w:type="dxa" w:w="212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Current price (VND)</w:t>
            </w:r>
          </w:p>
        </w:tc>
        <w:tc>
          <w:tcPr>
            <w:tcW w:type="dxa" w:w="2124"/>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Expected return</w:t>
            </w:r>
          </w:p>
        </w:tc>
      </w:tr>
      <w:tr>
        <w:trPr>
          <w:tblHeader w:val="false"/>
        </w:trPr>
        <w:tc>
          <w:tcPr>
            <w:tcW w:type="dxa" w:w="16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left"/>
            </w:pPr>
            <w:r>
              <w:rPr>
                <w:rFonts w:ascii="Calibri" w:cs="Calibri" w:eastAsia="Calibri" w:hAnsi="Calibri"/>
                <w:b/>
                <w:bCs/>
                <w:color w:val="000000"/>
                <w:sz w:val="17"/>
                <w:szCs w:val="17"/>
              </w:rPr>
              <w:t xml:space="preserve">STB</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bCs/>
                <w:color w:val="1F3864"/>
                <w:sz w:val="17"/>
                <w:szCs w:val="17"/>
              </w:rPr>
              <w:t xml:space="preserve">HOLD</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81,400</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74,100</w:t>
            </w:r>
          </w:p>
        </w:tc>
        <w:tc>
          <w:tcPr>
            <w:tcW w:type="dxa" w:w="2124"/>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10%</w:t>
            </w:r>
          </w:p>
        </w:tc>
      </w:tr>
      <w:tr>
        <w:trPr>
          <w:tblHeader w:val="false"/>
        </w:trPr>
        <w:tc>
          <w:tcPr>
            <w:tcW w:type="dxa" w:w="16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left"/>
            </w:pPr>
            <w:r>
              <w:rPr>
                <w:rFonts w:ascii="Calibri" w:cs="Calibri" w:eastAsia="Calibri" w:hAnsi="Calibri"/>
                <w:b/>
                <w:bCs/>
                <w:color w:val="000000"/>
                <w:sz w:val="17"/>
                <w:szCs w:val="17"/>
              </w:rPr>
              <w:t xml:space="preserve">FPT</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bCs/>
                <w:color w:val="1F3864"/>
                <w:sz w:val="17"/>
                <w:szCs w:val="17"/>
              </w:rPr>
              <w:t xml:space="preserve">BUY</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87,950</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71,700</w:t>
            </w:r>
          </w:p>
        </w:tc>
        <w:tc>
          <w:tcPr>
            <w:tcW w:type="dxa" w:w="2124"/>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22.7%</w:t>
            </w:r>
          </w:p>
        </w:tc>
      </w:tr>
    </w:tbl>
    <w:p>
      <w:pPr>
        <w:spacing w:after="240" w:line="200"/>
      </w:pPr>
      <w:r>
        <w:rPr>
          <w:rFonts w:ascii="Calibri" w:cs="Calibri" w:eastAsia="Calibri" w:hAnsi="Calibri"/>
          <w:i/>
          <w:iCs/>
          <w:color w:val="595959"/>
          <w:sz w:val="14"/>
          <w:szCs w:val="14"/>
        </w:rPr>
        <w:t xml:space="preserve">Prices as at the dates shown in each section. Source: Mirae Asset Vietnam Research</w:t>
      </w:r>
    </w:p>
    <w:p>
      <w:pPr>
        <w:spacing w:after="80" w:line="260"/>
      </w:pPr>
      <w:r>
        <w:rPr>
          <w:rFonts w:ascii="Calibri" w:cs="Calibri" w:eastAsia="Calibri" w:hAnsi="Calibri"/>
          <w:b/>
          <w:bCs/>
          <w:color w:val="1F3864"/>
          <w:sz w:val="20"/>
          <w:szCs w:val="20"/>
        </w:rPr>
        <w:t xml:space="preserve">Contents</w:t>
      </w:r>
    </w:p>
    <w:p>
      <w:pPr>
        <w:spacing w:after="40" w:line="230"/>
      </w:pPr>
      <w:r>
        <w:rPr>
          <w:rFonts w:ascii="Calibri" w:cs="Calibri" w:eastAsia="Calibri" w:hAnsi="Calibri"/>
          <w:b/>
          <w:bCs/>
          <w:sz w:val="17"/>
          <w:szCs w:val="17"/>
        </w:rPr>
        <w:t xml:space="preserve">1.  STB — English   </w:t>
      </w:r>
      <w:r>
        <w:rPr>
          <w:rFonts w:ascii="Calibri" w:cs="Calibri" w:eastAsia="Calibri" w:hAnsi="Calibri"/>
          <w:color w:val="595959"/>
          <w:sz w:val="17"/>
          <w:szCs w:val="17"/>
        </w:rPr>
        <w:t xml:space="preserve">Asset quality deteriorates; provisioning to stay elevated</w:t>
      </w:r>
    </w:p>
    <w:p>
      <w:pPr>
        <w:spacing w:after="40" w:line="230"/>
      </w:pPr>
      <w:r>
        <w:rPr>
          <w:rFonts w:ascii="Calibri" w:cs="Calibri" w:eastAsia="Calibri" w:hAnsi="Calibri"/>
          <w:b/>
          <w:bCs/>
          <w:sz w:val="17"/>
          <w:szCs w:val="17"/>
        </w:rPr>
        <w:t xml:space="preserve">2.  STB — Tiếng Việt   </w:t>
      </w:r>
      <w:r>
        <w:rPr>
          <w:rFonts w:ascii="Calibri" w:cs="Calibri" w:eastAsia="Calibri" w:hAnsi="Calibri"/>
          <w:color w:val="595959"/>
          <w:sz w:val="17"/>
          <w:szCs w:val="17"/>
        </w:rPr>
        <w:t xml:space="preserve">Chất lượng tài sản suy giảm, áp lực dự phòng còn kéo dài</w:t>
      </w:r>
    </w:p>
    <w:p>
      <w:pPr>
        <w:spacing w:after="40" w:line="230"/>
      </w:pPr>
      <w:r>
        <w:rPr>
          <w:rFonts w:ascii="Calibri" w:cs="Calibri" w:eastAsia="Calibri" w:hAnsi="Calibri"/>
          <w:b/>
          <w:bCs/>
          <w:sz w:val="17"/>
          <w:szCs w:val="17"/>
        </w:rPr>
        <w:t xml:space="preserve">3.  FPT — English   </w:t>
      </w:r>
      <w:r>
        <w:rPr>
          <w:rFonts w:ascii="Calibri" w:cs="Calibri" w:eastAsia="Calibri" w:hAnsi="Calibri"/>
          <w:color w:val="595959"/>
          <w:sz w:val="17"/>
          <w:szCs w:val="17"/>
        </w:rPr>
        <w:t xml:space="preserve">Resilient recovery after a two-year-low valuation</w:t>
      </w:r>
    </w:p>
    <w:p>
      <w:pPr>
        <w:spacing w:after="40" w:line="230"/>
      </w:pPr>
      <w:r>
        <w:rPr>
          <w:rFonts w:ascii="Calibri" w:cs="Calibri" w:eastAsia="Calibri" w:hAnsi="Calibri"/>
          <w:b/>
          <w:bCs/>
          <w:sz w:val="17"/>
          <w:szCs w:val="17"/>
        </w:rPr>
        <w:t xml:space="preserve">4.  FPT — Tiếng Việt   </w:t>
      </w:r>
      <w:r>
        <w:rPr>
          <w:rFonts w:ascii="Calibri" w:cs="Calibri" w:eastAsia="Calibri" w:hAnsi="Calibri"/>
          <w:color w:val="595959"/>
          <w:sz w:val="17"/>
          <w:szCs w:val="17"/>
        </w:rPr>
        <w:t xml:space="preserve">Tăng trưởng bền bỉ, định giá hồi phục khi về đáy 2 năm</w:t>
      </w:r>
    </w:p>
    <w:p>
      <w:pPr>
        <w:pageBreakBefore/>
        <w:spacing w:after="60" w:line="200"/>
      </w:pPr>
      <w:r>
        <w:rPr>
          <w:rFonts w:ascii="Calibri" w:cs="Calibri" w:eastAsia="Calibri" w:hAnsi="Calibri"/>
          <w:b/>
          <w:bCs/>
          <w:caps/>
          <w:color w:val="595959"/>
          <w:sz w:val="15"/>
          <w:szCs w:val="15"/>
        </w:rPr>
        <w:t xml:space="preserve">STB  ·  Banks  ·  English</w:t>
      </w:r>
    </w:p>
    <w:p>
      <w:pPr>
        <w:spacing w:after="40" w:line="280"/>
      </w:pPr>
      <w:r>
        <w:rPr>
          <w:rFonts w:ascii="Calibri" w:cs="Calibri" w:eastAsia="Calibri" w:hAnsi="Calibri"/>
          <w:b/>
          <w:bCs/>
          <w:color w:val="1F3864"/>
          <w:sz w:val="28"/>
          <w:szCs w:val="28"/>
        </w:rPr>
        <w:t xml:space="preserve">Saigon Treasure Commercial Joint Stock Bank(STB VN)</w:t>
      </w:r>
    </w:p>
    <w:p>
      <w:pPr>
        <w:pBdr>
          <w:bottom w:val="single" w:color="1F3864" w:sz="6" w:space="6"/>
        </w:pBdr>
        <w:spacing w:after="160" w:line="260"/>
      </w:pPr>
      <w:r>
        <w:rPr>
          <w:rFonts w:ascii="Calibri" w:cs="Calibri" w:eastAsia="Calibri" w:hAnsi="Calibri"/>
          <w:color w:val="000000"/>
          <w:sz w:val="21"/>
          <w:szCs w:val="21"/>
        </w:rPr>
        <w:t xml:space="preserve">Asset quality deteriorates; provisioning to stay elevated</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(Maintain)</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HOLD</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NPATMI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5,809</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Target price (VND, 12M)</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81,400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consensus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Thị giá (04/08/26)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74,100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EPS Growth (26F,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-2.2</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Expected return</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10%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24.3</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cap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139,694</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1M   /   6M   /   12M</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Shares outstanding (mn)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1,885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Absolute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-0.7   /   12.1   /   44.7</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Free float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96.7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Relative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4.6   /   13.7   /   26.8</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Foreign ownership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11.2</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low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45,950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high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76,800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Investment points</w:t>
      </w:r>
    </w:p>
    <w:p>
      <w:pPr>
        <w:spacing w:after="40" w:line="250"/>
        <w:jc w:val="left"/>
      </w:pPr>
      <w:r>
        <w:rPr>
          <w:rFonts w:ascii="Calibri" w:cs="Calibri" w:eastAsia="Calibri" w:hAnsi="Calibri"/>
          <w:b/>
          <w:bCs/>
          <w:color w:val="1F3864"/>
          <w:sz w:val="17"/>
          <w:szCs w:val="17"/>
        </w:rPr>
        <w:t xml:space="preserve">1H26 results came in below expectations:</w:t>
      </w:r>
    </w:p>
    <w:p>
      <w:pPr>
        <w:spacing w:after="140" w:line="250"/>
        <w:jc w:val="both"/>
      </w:pPr>
      <w:r>
        <w:rPr>
          <w:rFonts w:ascii="Calibri" w:cs="Calibri" w:eastAsia="Calibri" w:hAnsi="Calibri"/>
          <w:b w:val="false"/>
          <w:bCs w:val="false"/>
          <w:color w:val="000000"/>
          <w:sz w:val="17"/>
          <w:szCs w:val="17"/>
        </w:rPr>
        <w:t xml:space="preserve">1H26 PBT reached VND4,136bn (-43.6% YoY), 51% of the VND8,100bn FY26 plan, of which VND2,106bn came in 1Q26. The shortfall stems from NIM compression amid deposit competition and a heavier provisioning charge.</w:t>
      </w:r>
    </w:p>
    <w:p>
      <w:pPr>
        <w:spacing w:after="140" w:line="250"/>
        <w:jc w:val="both"/>
      </w:pPr>
      <w:r>
        <w:rPr>
          <w:rFonts w:ascii="Calibri" w:cs="Calibri" w:eastAsia="Calibri" w:hAnsi="Calibri"/>
          <w:b w:val="false"/>
          <w:bCs w:val="false"/>
          <w:color w:val="000000"/>
          <w:sz w:val="17"/>
          <w:szCs w:val="17"/>
        </w:rPr>
        <w:t xml:space="preserve">The NPL ratio reached 7.54% at end-2Q26, up 1.13%p year-to-date and the highest in the system; Broad NPL at 10.2% (+7%p YoY).  Group 3-5 balances rose approximately VND7,800bn to VND47,957bn, of which about 67% (VND32,000bn) is Group 5, while Group 4 more than doubled (+156%).</w:t>
      </w:r>
    </w:p>
    <w:p>
      <w:pPr>
        <w:spacing w:after="140" w:line="250"/>
        <w:jc w:val="both"/>
      </w:pPr>
      <w:r>
        <w:rPr>
          <w:rFonts w:ascii="Calibri" w:cs="Calibri" w:eastAsia="Calibri" w:hAnsi="Calibri"/>
          <w:b w:val="false"/>
          <w:bCs w:val="false"/>
          <w:color w:val="000000"/>
          <w:sz w:val="17"/>
          <w:szCs w:val="17"/>
        </w:rPr>
        <w:t xml:space="preserve">We set FY26F NPL at 5.8%, from below 4.5%, and FY27F at 4.0% from 3.1%. Holding the ratio at 5.5% on the smaller loan book would have required net NPL recoveries in 2H26; 5.8% keeps the absolute balance at VND37,157bn and implied net formation just positive. Reserves reached VND27.2tn at end-2Q26 — 56.7% coverage, up from 50.0% at end-FY25 — after VND7.1tn of 1H26 charges. A further VND3.1tn charge in 2H26 funds write-offs of VND11.0tn, or 34% of the Group 5 balance, leaving coverage at 50.9%.</w:t>
      </w:r>
    </w:p>
    <w:p>
      <w:pPr>
        <w:spacing w:after="40" w:line="250"/>
        <w:jc w:val="left"/>
      </w:pPr>
      <w:r>
        <w:rPr>
          <w:rFonts w:ascii="Calibri" w:cs="Calibri" w:eastAsia="Calibri" w:hAnsi="Calibri"/>
          <w:b/>
          <w:bCs/>
          <w:color w:val="1F3864"/>
          <w:sz w:val="17"/>
          <w:szCs w:val="17"/>
        </w:rPr>
        <w:t xml:space="preserve">FY26F PBT of VND7,461bn on the loan growth reset:</w:t>
      </w:r>
    </w:p>
    <w:p>
      <w:pPr>
        <w:spacing w:after="140" w:line="250"/>
        <w:jc w:val="both"/>
      </w:pPr>
      <w:r>
        <w:rPr>
          <w:rFonts w:ascii="Calibri" w:cs="Calibri" w:eastAsia="Calibri" w:hAnsi="Calibri"/>
          <w:b w:val="false"/>
          <w:bCs w:val="false"/>
          <w:color w:val="000000"/>
          <w:sz w:val="17"/>
          <w:szCs w:val="17"/>
        </w:rPr>
        <w:t xml:space="preserve">STB recorded VND7,331bn of PBT in 1H25 but only VND297bn in 2H25, as 4Q25 registered a pre-tax loss of VND3,360bn.</w:t>
      </w:r>
    </w:p>
    <w:p>
      <w:pPr>
        <w:spacing w:after="140" w:line="250"/>
        <w:jc w:val="both"/>
      </w:pPr>
      <w:r>
        <w:rPr>
          <w:rFonts w:ascii="Calibri" w:cs="Calibri" w:eastAsia="Calibri" w:hAnsi="Calibri"/>
          <w:b w:val="false"/>
          <w:bCs w:val="false"/>
          <w:color w:val="000000"/>
          <w:sz w:val="17"/>
          <w:szCs w:val="17"/>
        </w:rPr>
        <w:t xml:space="preserve">We now carry FY26F loan growth of 2.3%, against the 11.7% previously assumed and the 1.5% delivered in 1H26. That takes gross loans to VND640,643bn and NII to VND24,531bn (-8.1% YoY), and FY26F PBT to VND7,461bn (-2.2% YoY) — 7.9% below the board-approved plan of VND8,100bn, where we previously sat marginally above it. The implied 2H26 PBT is VND3,325bn against VND297bn in 2H25.</w:t>
      </w:r>
    </w:p>
    <w:p>
      <w:pPr>
        <w:spacing w:after="140" w:line="250"/>
        <w:jc w:val="both"/>
      </w:pPr>
      <w:r>
        <w:rPr>
          <w:rFonts w:ascii="Calibri" w:cs="Calibri" w:eastAsia="Calibri" w:hAnsi="Calibri"/>
          <w:b w:val="false"/>
          <w:bCs w:val="false"/>
          <w:color w:val="000000"/>
          <w:sz w:val="17"/>
          <w:szCs w:val="17"/>
        </w:rPr>
        <w:t xml:space="preserve">Other FY26F assumptions: a provisioning charge of VND10.2tn (-10.4% YoY) and non-interest income of VND5,950bn. CIR steps down from 42.1% in FY26F to 40.0% in FY27F and 38.0% in FY28F; on 1H26 opex of VND6,233bn that puts 2H26 costs at VND6,585bn, +5.6% on the first half, so no cost reduction is assumed. FY27F carries VND1,000bn of specific charge above what write-offs consume and FY28F VND2,000bn, so reserve stock builds rather than merely funding disposals. FY27F NII grows 9.9% as NIM turns — NII/average loans goes from 3.87% to 3.96% — carrying FY27F PBT to VND9,872bn (+32%) and FY28F to VND15,271bn (+55%). Separately, STB's seizure of 507 land-use right certificates at LDG's Viva City against VND350bn of overdue principal is immaterial in size but shows the collateral channel the write-off programme depends on.</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Net interest income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22,072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24,532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26,681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24,531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26,953</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30,600</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Net non-interest inc.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4,101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5,376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5,950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7,226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8,517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Operating profit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9,595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12,720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7,628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7,461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9,872</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15,271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Net Profit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7,719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10,087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5,939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5,809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7,686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11,890</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4,094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5,351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3,150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3,081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4,077</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6,307</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11.0</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15.0</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14.0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23.8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24.3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18.4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11.9</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1.9</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Total assets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674,390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748,095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917,106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1,013,554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1,125,396</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1,262,644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Equity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45,734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54,972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59,867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65,729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73,415</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85,305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BVPS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24,259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29,160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31,756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34,865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38,943</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45,249</w:t>
            </w:r>
          </w:p>
        </w:tc>
      </w:tr>
    </w:tbl>
    <w:p>
      <w:pPr>
        <w:spacing w:after="200" w:line="200"/>
      </w:pPr>
      <w:r>
        <w:rPr>
          <w:rFonts w:ascii="Calibri" w:cs="Calibri" w:eastAsia="Calibri" w:hAnsi="Calibri"/>
          <w:i/>
          <w:iCs/>
          <w:color w:val="595959"/>
          <w:sz w:val="14"/>
          <w:szCs w:val="14"/>
        </w:rPr>
        <w:t xml:space="preserve">Source: Company data, Mirae Asset Vietnam Research</w:t>
      </w:r>
    </w:p>
    <w:p>
      <w:pPr>
        <w:spacing w:after="0" w:line="200"/>
      </w:pPr>
      <w:r>
        <w:rPr>
          <w:rFonts w:ascii="Calibri" w:cs="Calibri" w:eastAsia="Calibri" w:hAnsi="Calibri"/>
          <w:color w:val="595959"/>
          <w:sz w:val="15"/>
          <w:szCs w:val="15"/>
        </w:rPr>
        <w:t xml:space="preserve">Quan Ton, quan.td@miraeasset.com.vn</w:t>
      </w:r>
    </w:p>
    <w:p>
      <w:pPr>
        <w:pageBreakBefore/>
        <w:spacing w:after="60" w:line="200"/>
      </w:pPr>
      <w:r>
        <w:rPr>
          <w:rFonts w:ascii="Calibri" w:cs="Calibri" w:eastAsia="Calibri" w:hAnsi="Calibri"/>
          <w:b/>
          <w:bCs/>
          <w:caps/>
          <w:color w:val="595959"/>
          <w:sz w:val="15"/>
          <w:szCs w:val="15"/>
        </w:rPr>
        <w:t xml:space="preserve">STB  ·  Ngân hàng  ·  Tiếng Việt</w:t>
      </w:r>
    </w:p>
    <w:p>
      <w:pPr>
        <w:spacing w:after="40" w:line="280"/>
      </w:pPr>
      <w:r>
        <w:rPr>
          <w:rFonts w:ascii="Calibri" w:cs="Calibri" w:eastAsia="Calibri" w:hAnsi="Calibri"/>
          <w:b/>
          <w:bCs/>
          <w:color w:val="1F3864"/>
          <w:sz w:val="28"/>
          <w:szCs w:val="28"/>
        </w:rPr>
        <w:t xml:space="preserve">Ngân hàng TMCP Sài Gòn Tài Lộc (HOSE: STB)</w:t>
      </w:r>
    </w:p>
    <w:p>
      <w:pPr>
        <w:pBdr>
          <w:bottom w:val="single" w:color="1F3864" w:sz="6" w:space="6"/>
        </w:pBdr>
        <w:spacing w:after="160" w:line="260"/>
      </w:pPr>
      <w:r>
        <w:rPr>
          <w:rFonts w:ascii="Calibri" w:cs="Calibri" w:eastAsia="Calibri" w:hAnsi="Calibri"/>
          <w:color w:val="000000"/>
          <w:sz w:val="21"/>
          <w:szCs w:val="21"/>
        </w:rPr>
        <w:t xml:space="preserve">Chất lượng tài sản suy giảm, áp lực dự phòng còn kéo dài</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(Cập nhật)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NẮM GIỮ</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LNST (26F,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5,809</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Giá mục tiêu (VND, 12T)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81,400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Kỳ vọng thị trường (25F,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Thị giá (04/08/26)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74,100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Tăng trưởng EPS (25F,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-2.2</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Lợi nhuận kỳ vọng</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10%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24.3</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Vốn hóa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139,694</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1T   /   6T   /   12T</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SLCP đang lưu hành (triệu cp)</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1,885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Tuyệt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-0.7   /   12.1   /   44.7</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lê CP tự do chuyển nhượng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96.7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Tương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4.6   /   13.7   /   26.8</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lệ sở hữu của NĐTNN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11.2</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Thấp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45,950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Cao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76,800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Điểm nhấn đầu tư</w:t>
      </w:r>
    </w:p>
    <w:p>
      <w:pPr>
        <w:spacing w:after="40" w:line="250"/>
        <w:jc w:val="left"/>
      </w:pPr>
      <w:r>
        <w:rPr>
          <w:rFonts w:ascii="Calibri" w:cs="Calibri" w:eastAsia="Calibri" w:hAnsi="Calibri"/>
          <w:b/>
          <w:bCs/>
          <w:color w:val="1F3864"/>
          <w:sz w:val="17"/>
          <w:szCs w:val="17"/>
        </w:rPr>
        <w:t xml:space="preserve">KQKD 1H26 thấp hơn kỳ vọng:</w:t>
      </w:r>
    </w:p>
    <w:p>
      <w:pPr>
        <w:spacing w:after="140" w:line="250"/>
        <w:jc w:val="both"/>
      </w:pPr>
      <w:r>
        <w:rPr>
          <w:rFonts w:ascii="Calibri" w:cs="Calibri" w:eastAsia="Calibri" w:hAnsi="Calibri"/>
          <w:b w:val="false"/>
          <w:bCs w:val="false"/>
          <w:color w:val="000000"/>
          <w:sz w:val="17"/>
          <w:szCs w:val="17"/>
        </w:rPr>
        <w:t xml:space="preserve">LNTT 1H26 đạt 4,136 tỷ đồng (-43.6% CK), hoàn thành 51% kế hoạch năm 8,100 tỷ đồng, trong đó Q1/2026 đóng góp 2,106 tỷ đồng. Mức sụt giảm đến từ NIM thu hẹp trong bối cảnh cạnh tranh huy động gay gắt và chi phí dự phòng tăng đáng kể.</w:t>
      </w:r>
    </w:p>
    <w:p>
      <w:pPr>
        <w:spacing w:after="140" w:line="250"/>
        <w:jc w:val="both"/>
      </w:pPr>
      <w:r>
        <w:rPr>
          <w:rFonts w:ascii="Calibri" w:cs="Calibri" w:eastAsia="Calibri" w:hAnsi="Calibri"/>
          <w:b w:val="false"/>
          <w:bCs w:val="false"/>
          <w:color w:val="000000"/>
          <w:sz w:val="17"/>
          <w:szCs w:val="17"/>
        </w:rPr>
        <w:t xml:space="preserve">Chất lượng tài sản suy giảm vượt mức ban lãnh đạo dự kiến: tỷ lệ nợ xấu đạt 7.54% cuối Q2/2026, tăng 1.13%p so với đầu năm và cao nhất hệ thống, so với ước tính khoảng 5.6% của ban lãnh đạo. Dư nợ nhóm 3-5 tăng khoảng 7,800 tỷ đồng lên 47,957 tỷ đồng, trong đó khoảng 67% (32,000 tỷ đồng) xếp nhóm 5, nợ nhóm 4 tăng hơn gấp đôi (+156%).</w:t>
      </w:r>
    </w:p>
    <w:p>
      <w:pPr>
        <w:spacing w:after="140" w:line="250"/>
        <w:jc w:val="both"/>
      </w:pPr>
      <w:r>
        <w:rPr>
          <w:rFonts w:ascii="Calibri" w:cs="Calibri" w:eastAsia="Calibri" w:hAnsi="Calibri"/>
          <w:b w:val="false"/>
          <w:bCs w:val="false"/>
          <w:color w:val="000000"/>
          <w:sz w:val="17"/>
          <w:szCs w:val="17"/>
        </w:rPr>
        <w:t xml:space="preserve">Chúng tôi đặt giả định nợ xấu FY26F ở 5.8% (từ dưới 4.5%) và FY27F ở 4.0% (từ 3.1%). Giữ 5.5% trên nền dư nợ đã thu hẹp sẽ đòi hỏi nợ xấu phải được thu hồi ròng trong 2H26; mức 5.8% giữ số dư tuyệt đối ở 37,157 tỷ đồng và nợ xấu phát sinh mới vẫn dương. Dự phòng đạt 27.2 nghìn tỷ đồng cuối Q2/2026 — bao phủ 56.7%, tăng từ 50.0% cuối 2025 — sau khi trích 7.1 nghìn tỷ đồng trong 1H26 và trích thêm 3.1 nghìn tỷ đồng trong 2H26 đủ để xóa 11.0 nghìn tỷ đồng, tương đương 34% dư nợ nhóm 5, đưa bao phủ về 50.9%.</w:t>
      </w:r>
    </w:p>
    <w:p>
      <w:pPr>
        <w:spacing w:after="40" w:line="250"/>
        <w:jc w:val="left"/>
      </w:pPr>
      <w:r>
        <w:rPr>
          <w:rFonts w:ascii="Calibri" w:cs="Calibri" w:eastAsia="Calibri" w:hAnsi="Calibri"/>
          <w:b/>
          <w:bCs/>
          <w:color w:val="1F3864"/>
          <w:sz w:val="17"/>
          <w:szCs w:val="17"/>
        </w:rPr>
        <w:t xml:space="preserve">Đặt LNTT FY26F ở 7,500 tỷ đồng sau khi điều chỉnh tăng trưởng tín dụng:</w:t>
      </w:r>
    </w:p>
    <w:p>
      <w:pPr>
        <w:spacing w:after="140" w:line="250"/>
        <w:jc w:val="both"/>
      </w:pPr>
      <w:r>
        <w:rPr>
          <w:rFonts w:ascii="Calibri" w:cs="Calibri" w:eastAsia="Calibri" w:hAnsi="Calibri"/>
          <w:b w:val="false"/>
          <w:bCs w:val="false"/>
          <w:color w:val="000000"/>
          <w:sz w:val="17"/>
          <w:szCs w:val="17"/>
        </w:rPr>
        <w:t xml:space="preserve">STB ghi nhận 7,331 tỷ đồng LNTT trong 1H25 nhưng chỉ 297 tỷ đồng trong 2H25, do Q4/2025 lỗ trước thuế 3,360 tỷ đồng.</w:t>
      </w:r>
    </w:p>
    <w:p>
      <w:pPr>
        <w:spacing w:after="140" w:line="250"/>
        <w:jc w:val="both"/>
      </w:pPr>
      <w:r>
        <w:rPr>
          <w:rFonts w:ascii="Calibri" w:cs="Calibri" w:eastAsia="Calibri" w:hAnsi="Calibri"/>
          <w:b w:val="false"/>
          <w:bCs w:val="false"/>
          <w:color w:val="000000"/>
          <w:sz w:val="17"/>
          <w:szCs w:val="17"/>
        </w:rPr>
        <w:t xml:space="preserve">Chúng tôi hạ giả định tăng trưởng tín dụng FY26F về 2.3%, so với 11.7% trước đây và 1.5% thực hiện trong 1H26. Dư nợ theo đó còn 640,643 tỷ đồng và NII còn 24,531 tỷ đồng (-8.1% CK), kéo LNTT FY26F xuống 7,461 tỷ đồng (-2.2% CK) — thấp hơn 8% so với kế hoạch 8,100 tỷ đồng đã được ĐHĐCĐ thông qua, trong khi bản trước còn nhỉnh hơn kế hoạch. Mức này hàm ý LNTT 2H26 khoảng 3,325 tỷ đồng so với 297 tỷ đồng của 2H25.</w:t>
      </w:r>
    </w:p>
    <w:p>
      <w:pPr>
        <w:spacing w:after="140" w:line="250"/>
        <w:jc w:val="both"/>
      </w:pPr>
      <w:r>
        <w:rPr>
          <w:rFonts w:ascii="Calibri" w:cs="Calibri" w:eastAsia="Calibri" w:hAnsi="Calibri"/>
          <w:b w:val="false"/>
          <w:bCs w:val="false"/>
          <w:color w:val="000000"/>
          <w:sz w:val="17"/>
          <w:szCs w:val="17"/>
        </w:rPr>
        <w:t xml:space="preserve">Các giả định FY26F khác: chi phí dự phòng 10.2 nghìn tỷ đồng (-10.4% CK) và thu nhập ngoài lãi 5,950 tỷ đồng. CIR giảm dần từ 42.1% năm FY26F về 40.0% FY27F và 38.0% FY28F; với chi phí 1H26 là 6,233 tỷ đồng, mức này cho chi phí 2H26 ở 6,585 tỷ đồng, +5.6% so với nửa đầu năm, tức không giả định cắt giảm chi phí. FY27F trích thêm 1,000 tỷ đồng và FY28F 2,000 tỷ đồng ngoài phần đủ bù xóa nợ, tức bộ đệm dự phòng được bồi đắp chứ không chỉ tài trợ xử lý nợ. NII FY27F tăng 9.9% khi NIM đảo chiều — NII/dư nợ bình quân từ 3.87% lên 3.96% — đưa LNTT FY27F lên 9,872 tỷ đồng (+32%) và FY28F lên 15,271 tỷ đồng (+55%). Ở diễn biến khác, việc Sacombank thu giữ 507 giấy chứng nhận quyền sử dụng đất tại dự án Viva City đối với 350 tỷ đồng dư nợ gốc quá hạn tuy chưa trọng yếu nhưng cho thấy kênh xử lý tài sản đảm bảo mà chương trình xóa nợ 2H26 phụ thuộc vào.</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Thu nhập lãi thuần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22,072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24,532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26,681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24,531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26,953</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30,600</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Thu nhập ngoài lãi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4,101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5,376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5,950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7,226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8,517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Lợi nhuận hoạt động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9,595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12,720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7,628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7,461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9,872</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15,271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LNST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7,719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10,087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5,939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5,809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7,686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11,890</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4,094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5,351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3,150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3,081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4,077</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6,307</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11.0</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15.0</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14.0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23.8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24.3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18.4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11.9</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1.9</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Tổng tài sản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674,390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748,095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917,106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1,013,554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1,125,396</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1,262,644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VCSH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45,734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54,972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59,867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65,729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73,415</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85,305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Giá trị sổ sách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24,259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29,160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31,756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34,865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38,943</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45,249</w:t>
            </w:r>
          </w:p>
        </w:tc>
      </w:tr>
    </w:tbl>
    <w:p>
      <w:pPr>
        <w:spacing w:after="200" w:line="200"/>
      </w:pPr>
      <w:r>
        <w:rPr>
          <w:rFonts w:ascii="Calibri" w:cs="Calibri" w:eastAsia="Calibri" w:hAnsi="Calibri"/>
          <w:i/>
          <w:iCs/>
          <w:color w:val="595959"/>
          <w:sz w:val="14"/>
          <w:szCs w:val="14"/>
        </w:rPr>
        <w:t xml:space="preserve">Nguồn: Dữ liệu công ty, Mirae Asset Vietnam Research</w:t>
      </w:r>
    </w:p>
    <w:p>
      <w:pPr>
        <w:spacing w:after="0" w:line="200"/>
      </w:pPr>
      <w:r>
        <w:rPr>
          <w:rFonts w:ascii="Calibri" w:cs="Calibri" w:eastAsia="Calibri" w:hAnsi="Calibri"/>
          <w:color w:val="595959"/>
          <w:sz w:val="15"/>
          <w:szCs w:val="15"/>
        </w:rPr>
        <w:t xml:space="preserve">Tôn Đạt Quân, quan.td@miraeasset.com.vn</w:t>
      </w:r>
    </w:p>
    <w:p>
      <w:pPr>
        <w:pageBreakBefore/>
        <w:spacing w:after="60" w:line="200"/>
      </w:pPr>
      <w:r>
        <w:rPr>
          <w:rFonts w:ascii="Calibri" w:cs="Calibri" w:eastAsia="Calibri" w:hAnsi="Calibri"/>
          <w:b/>
          <w:bCs/>
          <w:caps/>
          <w:color w:val="595959"/>
          <w:sz w:val="15"/>
          <w:szCs w:val="15"/>
        </w:rPr>
        <w:t xml:space="preserve">FPT  ·  IT  ·  English</w:t>
      </w:r>
    </w:p>
    <w:p>
      <w:pPr>
        <w:spacing w:after="40" w:line="280"/>
      </w:pPr>
      <w:r>
        <w:rPr>
          <w:rFonts w:ascii="Calibri" w:cs="Calibri" w:eastAsia="Calibri" w:hAnsi="Calibri"/>
          <w:b/>
          <w:bCs/>
          <w:color w:val="1F3864"/>
          <w:sz w:val="28"/>
          <w:szCs w:val="28"/>
        </w:rPr>
        <w:t xml:space="preserve">FPT Corporation (HOSE: FPT)</w:t>
      </w:r>
    </w:p>
    <w:p>
      <w:pPr>
        <w:pBdr>
          <w:bottom w:val="single" w:color="1F3864" w:sz="6" w:space="6"/>
        </w:pBdr>
        <w:spacing w:after="160" w:line="260"/>
      </w:pPr>
      <w:r>
        <w:rPr>
          <w:rFonts w:ascii="Calibri" w:cs="Calibri" w:eastAsia="Calibri" w:hAnsi="Calibri"/>
          <w:color w:val="000000"/>
          <w:sz w:val="21"/>
          <w:szCs w:val="21"/>
        </w:rPr>
        <w:t xml:space="preserve">Resilient recovery after a two-year-low valuation</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(Update)</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BUY</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NPATMI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10,944</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Target price (VND, 12M)</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87,950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consensus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Current price (04/08/26)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71,700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EPS Growth (26F,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15.6</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Expected return</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22.7%</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13.7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cap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122,141</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1M   /   6M   /   12M</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Shares outstanding (mn)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1,703.5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Absolute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-0.8   /   -29.6   /   -33.0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Free float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89.5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Relative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4.5   /   -28.0   /   -50.9</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Foreign ownership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34.8</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low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62,800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high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111,600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Investment points</w:t>
      </w:r>
    </w:p>
    <w:p>
      <w:pPr>
        <w:spacing w:after="140" w:line="250"/>
        <w:jc w:val="both"/>
      </w:pPr>
      <w:r>
        <w:rPr>
          <w:rFonts w:ascii="Calibri" w:cs="Calibri" w:eastAsia="Calibri" w:hAnsi="Calibri"/>
          <w:b w:val="false"/>
          <w:bCs w:val="false"/>
          <w:color w:val="000000"/>
          <w:sz w:val="17"/>
          <w:szCs w:val="17"/>
        </w:rPr>
        <w:t xml:space="preserve">1H26 performance: revenue VND26,269bn (+12.6% YoY) and PBT VND5,714bn (+18.1% YoY), 45%/49% of the FY26 plan, with the group PBT margin widening to 21.8% (1H25: 18.9%). In 2Q26: revenue VND13,789bn, PBT VND2,910bn, NPATMI VND2,568bn (+14% YoY). In 1H26, Technology revenue was VND23,138bn (+15% YoY; 88% of group) and PBT VND3,314bn (+16.9%); Education, investment and others fell 2.1% to VND3,131bn yet contributed 42% of group PBT on a ~77% margin.</w:t>
      </w:r>
    </w:p>
    <w:p>
      <w:pPr>
        <w:spacing w:after="140" w:line="250"/>
        <w:jc w:val="both"/>
      </w:pPr>
      <w:r>
        <w:rPr>
          <w:rFonts w:ascii="Calibri" w:cs="Calibri" w:eastAsia="Calibri" w:hAnsi="Calibri"/>
          <w:b w:val="false"/>
          <w:bCs w:val="false"/>
          <w:color w:val="000000"/>
          <w:sz w:val="17"/>
          <w:szCs w:val="17"/>
        </w:rPr>
        <w:t xml:space="preserve">Public-sector digitalization underpins the domestic pipeline: Domestic IT grew fastest in 6M26 at VND4,236bn (+22.5% YoY), segment PBT to VND308bn (+100.5%) on national digital-transformation wins — multi-year work outside the global IT cycle, though its 7.3% margin dilutes the blend. Signed contract value for Global IT reached VND26,338bn in 1H26, +32.3% YoY, including 14 deals above USD10mn — a book-to-bill of 1.39x against 1.07-1.22x through FY21-25. On that basis we look for Global IT to reaccelerate to +16.7% in FY27F and +17.7% in FY28F, from +14.7% in FY26F and +13.4% in 1H26.</w:t>
      </w:r>
    </w:p>
    <w:p>
      <w:pPr>
        <w:spacing w:after="140" w:line="250"/>
        <w:jc w:val="both"/>
      </w:pPr>
      <w:r>
        <w:rPr>
          <w:rFonts w:ascii="Calibri" w:cs="Calibri" w:eastAsia="Calibri" w:hAnsi="Calibri"/>
          <w:b w:val="false"/>
          <w:bCs w:val="false"/>
          <w:color w:val="000000"/>
          <w:sz w:val="17"/>
          <w:szCs w:val="17"/>
        </w:rPr>
        <w:t xml:space="preserve">The AI demand expansion versus compression of headcount-based pricing: AI and data analytics revenue reached VND1,842bn in 1H26, +54% YoY against +15% for Technology, lifting its share of the segment to 8.0% from 5.9% and contributing a fifth of Technology's growth; ex-AI the segment grew 12.5%. Both AI Factories, in Vietnam and Japan, ran above 90% utilisation and turned profitable in 2Q26, about a year after launch.</w:t>
      </w:r>
    </w:p>
    <w:p>
      <w:pPr>
        <w:spacing w:after="140" w:line="250"/>
        <w:jc w:val="both"/>
      </w:pPr>
      <w:r>
        <w:rPr>
          <w:rFonts w:ascii="Calibri" w:cs="Calibri" w:eastAsia="Calibri" w:hAnsi="Calibri"/>
          <w:b w:val="false"/>
          <w:bCs w:val="false"/>
          <w:color w:val="000000"/>
          <w:sz w:val="17"/>
          <w:szCs w:val="17"/>
        </w:rPr>
        <w:t xml:space="preserve">Projection and valuation: we forecast FY26F NPATMI of VND10,944bn (+15.6% YoY), FY27F VND12,674bn (+15.8%) and FY28F VND14,774bn (+16.6%). Associate income — FPT Telecom (45.66%), equity-accounted from FY26, with FPT Retail (46.5%) , Synnex FPT (48%) and FPT Online (49.5%) — rises to VND2,608bn in FY26F and VND3,449bn by FY28F, and grew 40.8% YoY in 1H26. Operating leverage carries the rest: SG&amp;A falls from 17.6% of sales to 16.5% by FY28F thanks to cost-savings in AI. ROE holds near 27% on net cash of around 60% of equity and a maintained DPS of VND2,000.</w:t>
      </w:r>
    </w:p>
    <w:p>
      <w:pPr>
        <w:spacing w:after="140" w:line="250"/>
        <w:jc w:val="both"/>
      </w:pPr>
      <w:r>
        <w:rPr>
          <w:rFonts w:ascii="Calibri" w:cs="Calibri" w:eastAsia="Calibri" w:hAnsi="Calibri"/>
          <w:b w:val="false"/>
          <w:bCs w:val="false"/>
          <w:color w:val="000000"/>
          <w:sz w:val="17"/>
          <w:szCs w:val="17"/>
        </w:rPr>
        <w:t xml:space="preserve">We raise our DCF (FCFF) target price to VND87,950; at the target price, 13.7x FY26F and 11.8x FY27F. Risks: (1) AI-driven price deflation outpacing our long-term growth assumption (2) subdued US and global IT spending and tariff-related contract delays (3) JPY/USD volatility.</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Revenue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52,618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62,849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70,208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57,284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66,048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76,654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Operating profit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8,452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10,508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9,807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11,044</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13,053</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PBT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9,203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13,134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13,070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15,159</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17,671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NPATMI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6,465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7,857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9,464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10,944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12,674</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14,774</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4,648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4,877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5,073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6,424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7,440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8,673</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17.3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Total assets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60,283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72,000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88,090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91,917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102,974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115,994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Equity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29,883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35,678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43,702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50,217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58,356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68,507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BVPS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19,665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20,253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21,418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25,116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29,770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35,585</w:t>
            </w:r>
          </w:p>
        </w:tc>
      </w:tr>
    </w:tbl>
    <w:p>
      <w:pPr>
        <w:spacing w:after="200" w:line="200"/>
      </w:pPr>
      <w:r>
        <w:rPr>
          <w:rFonts w:ascii="Calibri" w:cs="Calibri" w:eastAsia="Calibri" w:hAnsi="Calibri"/>
          <w:i/>
          <w:iCs/>
          <w:color w:val="595959"/>
          <w:sz w:val="14"/>
          <w:szCs w:val="14"/>
        </w:rPr>
        <w:t xml:space="preserve">Note: FPT Telecom deconsolidated (equity method) from FY26F. Source: Company data, Mirae Asset Vietnam Research</w:t>
      </w:r>
    </w:p>
    <w:p>
      <w:pPr>
        <w:spacing w:after="0" w:line="200"/>
      </w:pPr>
      <w:r>
        <w:rPr>
          <w:rFonts w:ascii="Calibri" w:cs="Calibri" w:eastAsia="Calibri" w:hAnsi="Calibri"/>
          <w:color w:val="595959"/>
          <w:sz w:val="15"/>
          <w:szCs w:val="15"/>
        </w:rPr>
        <w:t xml:space="preserve">Quan Ton, quan.td@miraeasset.com.vn</w:t>
      </w:r>
    </w:p>
    <w:p>
      <w:pPr>
        <w:pageBreakBefore/>
        <w:spacing w:after="60" w:line="200"/>
      </w:pPr>
      <w:r>
        <w:rPr>
          <w:rFonts w:ascii="Calibri" w:cs="Calibri" w:eastAsia="Calibri" w:hAnsi="Calibri"/>
          <w:b/>
          <w:bCs/>
          <w:caps/>
          <w:color w:val="595959"/>
          <w:sz w:val="15"/>
          <w:szCs w:val="15"/>
        </w:rPr>
        <w:t xml:space="preserve">FPT  ·  Công nghệ  ·  Tiếng Việt</w:t>
      </w:r>
    </w:p>
    <w:p>
      <w:pPr>
        <w:spacing w:after="40" w:line="280"/>
      </w:pPr>
      <w:r>
        <w:rPr>
          <w:rFonts w:ascii="Calibri" w:cs="Calibri" w:eastAsia="Calibri" w:hAnsi="Calibri"/>
          <w:b/>
          <w:bCs/>
          <w:color w:val="1F3864"/>
          <w:sz w:val="28"/>
          <w:szCs w:val="28"/>
        </w:rPr>
        <w:t xml:space="preserve">CTCP FPT (HOSE: FPT)</w:t>
      </w:r>
    </w:p>
    <w:p>
      <w:pPr>
        <w:pBdr>
          <w:bottom w:val="single" w:color="1F3864" w:sz="6" w:space="6"/>
        </w:pBdr>
        <w:spacing w:after="160" w:line="260"/>
      </w:pPr>
      <w:r>
        <w:rPr>
          <w:rFonts w:ascii="Calibri" w:cs="Calibri" w:eastAsia="Calibri" w:hAnsi="Calibri"/>
          <w:color w:val="000000"/>
          <w:sz w:val="21"/>
          <w:szCs w:val="21"/>
        </w:rPr>
        <w:t xml:space="preserve">Tăng trưởng bền bỉ, định giá hồi phục khi về đáy 2 năm</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(Cập nhật)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MUA</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LNST-CĐTS (26F,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10,944</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Giá mục tiêu (VND, 12T)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87,950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Kỳ vọng thị trường (26F,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Thị giá (04/08/26)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71,700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Tăng trưởng EPS (26F,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15.6</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Lợi nhuận kỳ vọng</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22.7%</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13.7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Vốn hóa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122,141</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1T   /   6T   /   12T</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SLCP đang lưu hành (triệu cp)</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1,703.5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Tuyệt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-0.8   /   -29.6   /   -33.0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lê CP tự do chuyển nhượng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89.5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Tương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4.5   /   -28.0   /   -50.9</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lệ sở hữu của NĐTNN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34.8</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Thấp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62,800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Cao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111,600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Điểm nhấn đầu tư</w:t>
      </w:r>
    </w:p>
    <w:p>
      <w:pPr>
        <w:spacing w:after="140" w:line="250"/>
        <w:jc w:val="both"/>
      </w:pPr>
      <w:r>
        <w:rPr>
          <w:rFonts w:ascii="Calibri" w:cs="Calibri" w:eastAsia="Calibri" w:hAnsi="Calibri"/>
          <w:b w:val="false"/>
          <w:bCs w:val="false"/>
          <w:color w:val="000000"/>
          <w:sz w:val="17"/>
          <w:szCs w:val="17"/>
        </w:rPr>
        <w:t xml:space="preserve">KQKD 1H26 vượt tiến độ kế hoạch: doanh thu 26,269 tỷ đồng (+12.6% CK) và LNTT 5,714 tỷ (+18.1% CK), hoàn thành 45%/49% kế hoạch năm; biên LNTT mở rộng lên 21.8%. Q2/2026 đạt doanh thu 13,789 tỷ, LNTT 2,910 tỷ và LNST-CĐTS 2,568 tỷ (+14% CK). Công nghệ đạt 23,138 tỷ (+15% CK; 88% doanh thu tập đoàn) và LNTT 3,314 tỷ (+16.9% CK), biên 14.3%; Giáo dục, đầu tư và khác giảm 2.1% về 3,131 tỷ nhưng vẫn đóng góp 42% LNTT tập đoàn.</w:t>
      </w:r>
    </w:p>
    <w:p>
      <w:pPr>
        <w:spacing w:after="140" w:line="250"/>
        <w:jc w:val="both"/>
      </w:pPr>
      <w:r>
        <w:rPr>
          <w:rFonts w:ascii="Calibri" w:cs="Calibri" w:eastAsia="Calibri" w:hAnsi="Calibri"/>
          <w:b w:val="false"/>
          <w:bCs w:val="false"/>
          <w:color w:val="000000"/>
          <w:sz w:val="17"/>
          <w:szCs w:val="17"/>
        </w:rPr>
        <w:t xml:space="preserve">Số hóa khu vực công là nền tảng của danh mục trong nước: CNTT trong nước tăng nhanh nhất 6T26, đạt 4,236 tỷ đồng (+22.5% CK), LNTT mảng tăng gấp đôi lên 308 tỷ nhờ trúng thầu chương trình chuyển đổi số quốc gia — nguồn việc nhiều năm, ít phụ thuộc chu kỳ CNTT toàn cầu, tuy biên 7.3% làm loãng biên chung. Doanh thu ký mới CNTT nước ngoài đạt 26,338 tỷ trong 1H26 (+32.3% CK), gồm 14 dự án trên 10 triệu USD — tỷ lệ ký mới/doanh thu 1.39 lần so với 1.07-1.22 lần giai đoạn FY21-25. Trên cơ sở đó, dự phóng CNTT nước ngoài tăng lên +16.7% FY27F và +17.7% FY28F, từ +14.7% FY26F và +13.4% của 1H26; Mỹ hạ về +5.9% do cạnh tranh giá thầu.</w:t>
      </w:r>
    </w:p>
    <w:p>
      <w:pPr>
        <w:spacing w:after="140" w:line="250"/>
        <w:jc w:val="both"/>
      </w:pPr>
      <w:r>
        <w:rPr>
          <w:rFonts w:ascii="Calibri" w:cs="Calibri" w:eastAsia="Calibri" w:hAnsi="Calibri"/>
          <w:b w:val="false"/>
          <w:bCs w:val="false"/>
          <w:color w:val="000000"/>
          <w:sz w:val="17"/>
          <w:szCs w:val="17"/>
        </w:rPr>
        <w:t xml:space="preserve">AI  mở rộng nhu cầu: doanh thu Dịch vụ AI &amp; Data Analytics đạt 1,842 tỷ đồng trong 1H26, tăng 54% CK so với +15% của mảng Công nghệ, nâng tỷ trọng lên 8.0% từ 5.9% và đóng góp một phần năm mức tăng của mảng; loại AI, Công nghệ chỉ tăng 12.5%. Hai cụm AI Factory tại Việt Nam và Nhật Bản đạt hiệu suất trên 90% và có lãi từ 2Q26.</w:t>
      </w:r>
    </w:p>
    <w:p>
      <w:pPr>
        <w:spacing w:after="140" w:line="250"/>
        <w:jc w:val="both"/>
      </w:pPr>
      <w:r>
        <w:rPr>
          <w:rFonts w:ascii="Calibri" w:cs="Calibri" w:eastAsia="Calibri" w:hAnsi="Calibri"/>
          <w:b w:val="false"/>
          <w:bCs w:val="false"/>
          <w:color w:val="000000"/>
          <w:sz w:val="17"/>
          <w:szCs w:val="17"/>
        </w:rPr>
        <w:t xml:space="preserve">Dự phóng và định giá: LNST-CĐTS FY26F đạt 10,944 tỷ đồng (+15.6% CK), FY27F 12,674 tỷ (+15.8%) và FY28F 14,774 tỷ (+16.6%). Lợi nhuận từ công ty liên kết — FPT Telecom (45.66%, hạch toán theo phương pháp VCSH từ FY26), FPT Retail (46.5%) , Synnex FPT (48%) và FPT Online (49.5%) — tăng lên 2,608 tỷ FY26F và 3,449 tỷ FY28F, đã tăng 40.8% CK trong 1H26. Phần còn lại đến từ đòn bẩy hoạt động: chi phí bán hàng và quản lý giảm từ 17.6% doanh thu xuống 16.5% vào FY28F, biên gộp giữ nguyên. ROE duy trì quanh 27% nhờ tiền ròng khoảng 60% VCSH và cổ tức 2,000 đồng/cp.</w:t>
      </w:r>
    </w:p>
    <w:p>
      <w:pPr>
        <w:spacing w:after="140" w:line="250"/>
        <w:jc w:val="both"/>
      </w:pPr>
      <w:r>
        <w:rPr>
          <w:rFonts w:ascii="Calibri" w:cs="Calibri" w:eastAsia="Calibri" w:hAnsi="Calibri"/>
          <w:b w:val="false"/>
          <w:bCs w:val="false"/>
          <w:color w:val="000000"/>
          <w:sz w:val="17"/>
          <w:szCs w:val="17"/>
        </w:rPr>
        <w:t xml:space="preserve">Chúng tôi nâng giá mục tiêu DCF (FCFF) lên 87,950 đồng: tại giá mục tiêu là mức P/E forward là 13.7x FY26F và 11.8x FY27F. Rủi ro: (1) giảm phát giá do AI nhanh hơn giả định tăng trưởng dài hạn (2) chi tiêu CNTT tại Mỹ và toàn cầu thấp cùng hợp đồng trì hoãn do thuế quan (3) biến động tỷ giá JPY/USD.</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Doanh thu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52,618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62,849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70,208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57,284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66,048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76,654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 hoạt động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8,452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10,508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9,807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11,044</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13,053</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LNTT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9,203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13,134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13,070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15,159</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17,671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LNST-CĐTS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6,465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7,857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9,464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10,944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12,674</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14,774</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4,648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4,877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5,073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6,424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7,440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8,673</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17.3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Tổng tài sản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60,283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72,000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88,090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91,917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102,974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115,994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VCSH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29,883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35,678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43,702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50,217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58,356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68,507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Giá trị sổ sách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19,665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20,253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21,418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25,116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29,770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35,585</w:t>
            </w:r>
          </w:p>
        </w:tc>
      </w:tr>
    </w:tbl>
    <w:p>
      <w:pPr>
        <w:spacing w:after="200" w:line="200"/>
      </w:pPr>
      <w:r>
        <w:rPr>
          <w:rFonts w:ascii="Calibri" w:cs="Calibri" w:eastAsia="Calibri" w:hAnsi="Calibri"/>
          <w:i/>
          <w:iCs/>
          <w:color w:val="595959"/>
          <w:sz w:val="14"/>
          <w:szCs w:val="14"/>
        </w:rPr>
        <w:t xml:space="preserve">Ghi chú: FPT Telecom hợp nhất theo phương pháp VCSH từ FY26F. Nguồn: Dữ liệu công ty, Mirae Asset Vietnam Research</w:t>
      </w:r>
    </w:p>
    <w:p>
      <w:pPr>
        <w:spacing w:after="0" w:line="200"/>
      </w:pPr>
      <w:r>
        <w:rPr>
          <w:rFonts w:ascii="Calibri" w:cs="Calibri" w:eastAsia="Calibri" w:hAnsi="Calibri"/>
          <w:color w:val="595959"/>
          <w:sz w:val="15"/>
          <w:szCs w:val="15"/>
        </w:rPr>
        <w:t xml:space="preserve">Tôn Đạt Quân, quan.td@miraeasset.com.vn</w:t>
      </w:r>
    </w:p>
    <w:sectPr>
      <w:headerReference w:type="default" r:id="rId7"/>
      <w:footerReference w:type="default" r:id="rId8"/>
      <w:pgSz w:w="11907" w:h="16840" w:orient="portrait"/>
      <w:pgMar w:top="1000" w:right="907" w:bottom="1000" w:left="90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line="200"/>
      <w:jc w:val="center"/>
    </w:pPr>
    <w:r>
      <w:rPr>
        <w:rFonts w:ascii="Calibri" w:cs="Calibri" w:eastAsia="Calibri" w:hAnsi="Calibri"/>
        <w:color w:val="595959"/>
        <w:sz w:val="13"/>
        <w:szCs w:val="13"/>
      </w:rPr>
      <w:t xml:space="preserve">Analyst certification and important disclosures are at the end of this report.   </w:t>
    </w:r>
    <w:r>
      <w:rPr>
        <w:rFonts w:ascii="Calibri" w:cs="Calibri" w:eastAsia="Calibri" w:hAnsi="Calibri"/>
        <w:color w:val="5959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spacing w:after="0" w:line="200"/>
    </w:pPr>
    <w:r>
      <w:rPr>
        <w:rFonts w:ascii="Calibri" w:cs="Calibri" w:eastAsia="Calibri" w:hAnsi="Calibri"/>
        <w:color w:val="595959"/>
        <w:sz w:val="14"/>
        <w:szCs w:val="14"/>
      </w:rPr>
      <w:t xml:space="preserve">Mirae Asset Securities (Vietnam)  ·  2H26 Equity Outlook  ·  STB · FPT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2H26 Equity Outlook — Vietnam: STB and FPT</dc:title>
  <dc:creator>Mirae Asset Securities (Vietnam) Research</dc:creator>
  <dc:description>2Q26 results review and forecast revision</dc:description>
  <cp:lastModifiedBy>Un-named</cp:lastModifiedBy>
  <cp:revision>1</cp:revision>
  <dcterms:created xsi:type="dcterms:W3CDTF">2026-08-06T07:02:50.200Z</dcterms:created>
  <dcterms:modified xsi:type="dcterms:W3CDTF">2026-08-06T07:02:50.211Z</dcterms:modified>
</cp:coreProperties>
</file>

<file path=docProps/custom.xml><?xml version="1.0" encoding="utf-8"?>
<Properties xmlns="http://schemas.openxmlformats.org/officeDocument/2006/custom-properties" xmlns:vt="http://schemas.openxmlformats.org/officeDocument/2006/docPropsVTypes"/>
</file>