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TRÌNH VẬN HÀNH KHO &amp; XỬ LÝ ĐƠN HÀNG - FASTMOVE</w:t>
      </w:r>
    </w:p>
    <w:p>
      <w:pPr>
        <w:pStyle w:val="Heading2"/>
      </w:pPr>
      <w:r>
        <w:t>1. Mục đích và Phạm vi</w:t>
      </w:r>
    </w:p>
    <w:p>
      <w:r>
        <w:t>Chuẩn hóa các bước tiếp nhận, phân loại và tra cứu cước phí vận chuyển, loại bỏ thời gian chết thủ công.</w:t>
      </w:r>
    </w:p>
    <w:p>
      <w:pPr>
        <w:pStyle w:val="Heading2"/>
      </w:pPr>
      <w:r>
        <w:t>2. Quy trình tiếp nhận và phân loại hàng hóa</w:t>
      </w:r>
    </w:p>
    <w:p>
      <w:r>
        <w:t>Kiểm tra mã vận đơn, quét mã vạch và phân loại theo tuyến đường giao nhận.</w:t>
      </w:r>
    </w:p>
    <w:p>
      <w:pPr>
        <w:pStyle w:val="Heading2"/>
      </w:pPr>
      <w:r>
        <w:t>3. Hướng dẫn tra cứu giá cước tự động</w:t>
      </w:r>
    </w:p>
    <w:p>
      <w:r>
        <w:t>Sử dụng hàm VLOOKUP kết hợp địa chỉ tuyệt đối ($) để tra cứu giá cước chuẩn xác cho 500 dòng dữ liệu.</w:t>
      </w:r>
    </w:p>
    <w:p>
      <w:pPr>
        <w:pStyle w:val="Heading2"/>
      </w:pPr>
      <w:r>
        <w:t>4. Quy định đóng gói và bàn giao shipper</w:t>
      </w:r>
    </w:p>
    <w:p>
      <w:r>
        <w:t>Tuân thủ nguyên tắc 3-4 điểm thao tác nhanh theo chuẩn Miller's Law cho shipper.</w:t>
      </w:r>
    </w:p>
    <w:p>
      <w:pPr>
        <w:pStyle w:val="Heading2"/>
      </w:pPr>
      <w:r>
        <w:t>5. Xử lý sự cố và kiểm thử dữ liệu</w:t>
      </w:r>
    </w:p>
    <w:p>
      <w:r>
        <w:t>Xử lý lỗi #N/A khi mã vận đơn phát sinh ký tự lạ bằng hàm IFERROR.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