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Demo Accounts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Seeded via prisma/seed.ts. Every account below shares the same password.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Password: </w:t>
      </w:r>
      <w:r>
        <w:rPr>
          <w:rFonts w:ascii="Consolas" w:cs="Consolas" w:eastAsia="Consolas" w:hAnsi="Consolas"/>
          <w:sz w:val="21"/>
          <w:szCs w:val="21"/>
        </w:rPr>
        <w:t xml:space="preserve">password123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Never use these credentials or this password pattern in a production environment — they exist purely for local development and demos.</w:t>
      </w:r>
    </w:p>
    <w:p>
      <w:pPr>
        <w:pStyle w:val="Heading2"/>
      </w:pPr>
      <w:r>
        <w:rPr>
          <w:rFonts w:ascii="Arial" w:cs="Arial" w:eastAsia="Arial" w:hAnsi="Arial"/>
        </w:rPr>
        <w:t xml:space="preserve">Buyer side — Acme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19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Doe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john.doe@acmetech.example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Manager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Technologies Ghana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Doe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john.doe@acmetech.example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Technologies Nigeria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Doe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john.doe@acmetech.example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Technologies Kenya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Smith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sarah.smith@acmetech.example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Technologies Ghana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Michael Doe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michael.doe@acmetech.example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Technologies Ghana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John Doe belongs to all three Acme companies — after logging in, use the company switcher (top nav) to move between them.</w:t>
      </w:r>
    </w:p>
    <w:p>
      <w:pPr>
        <w:pStyle w:val="Heading2"/>
      </w:pPr>
      <w:r>
        <w:rPr>
          <w:rFonts w:ascii="Arial" w:cs="Arial" w:eastAsia="Arial" w:hAnsi="Arial"/>
        </w:rPr>
        <w:t xml:space="preserve">Supplier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27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Adwoa Mensah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adwoa.mensah@abctech.example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 Technology Solutions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Kofi Boateng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kofi.boateng@primeoffice.example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 Office Supplies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Yaw Darko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yaw.darko@accraindustrial.example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Accra Industrial Equipment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Verified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Chidi Okafor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chidi.okafor@waelectronics.example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 Africa Electronics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Efua Asante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efua.asante@kumasiprint.example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Kumasi Print &amp; Pack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Verification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4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 Owusu</w:t>
            </w:r>
          </w:p>
        </w:tc>
        <w:tc>
          <w:tcPr>
            <w:tcW w:type="dxa" w:w="3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grace.owusu@platform.example</w:t>
            </w:r>
          </w:p>
        </w:tc>
        <w:tc>
          <w:tcPr>
            <w:tcW w:type="dxa" w:w="4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Notes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Re-running "npm run db:seed" restores/updates all of the above without touching anything else you’ve created locally.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To reset a forgotten local Postgres password: temporarily switch pg_hba.conf to trust auth, run ALTER USER to set a new password, then switch pg_hba.conf back to scram-sha-256.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2026-09-13T22:38:24.091Z</dcterms:created>
  <dcterms:modified xsi:type="dcterms:W3CDTF">2026-09-13T22:38:24.092Z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