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/>
          <w:b/>
          <w:i w:val="0"/>
          <w:sz w:val="36"/>
        </w:rPr>
        <w:t>智课 AI 个性化学习工作台 —— 技术方案与运行效果</w:t>
      </w:r>
    </w:p>
    <w:p>
      <w:pPr>
        <w:ind w:left="360"/>
      </w:pPr>
      <w:r>
        <w:rPr>
          <w:rFonts w:ascii="宋体" w:hAnsi="宋体" w:eastAsia="宋体"/>
          <w:b w:val="0"/>
          <w:i/>
          <w:color w:val="595959"/>
          <w:sz w:val="21"/>
        </w:rPr>
        <w:t>一句话定位：面向高校课程的 AI 个性化学习工作台，学生端 / 助教端 / 管理端三端一体，私有化部署、持续进化、可信可控。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一、技术方案总览</w:t>
      </w:r>
    </w:p>
    <w:p>
      <w:r>
        <w:rPr>
          <w:rFonts w:ascii="宋体" w:hAnsi="宋体" w:eastAsia="宋体"/>
          <w:b/>
          <w:i w:val="0"/>
          <w:sz w:val="21"/>
        </w:rPr>
        <w:t>核心架构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前端：React + Vite（学生 / 助教 / 管理三端）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后端：FastAPI + PostgreSQL 16 / pgvector + Valkey + LangGraph Agent 编排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模型：本地微调 Qwen2.5-7B（LoRA），Ollama 推理（Docker + GPU）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沙箱：Node + Pyodide（WASM 隔离）代码实操执行</w:t>
      </w:r>
    </w:p>
    <w:p>
      <w:r>
        <w:rPr>
          <w:rFonts w:ascii="宋体" w:hAnsi="宋体" w:eastAsia="宋体"/>
          <w:b/>
          <w:i w:val="0"/>
          <w:sz w:val="21"/>
        </w:rPr>
        <w:t>四大技术亮点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私有化部署：本地微调模型 + 本地向量库 + 本地混合检索（BM25 + pgvector），全离线、数据不出域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可信 AI 防线：检索拒答 + 引用核验 + 结构化输出校验（Pydantic 纵深防御）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三层学情画像：全局 / 课程 / 会话画像，结论可回溯、可审计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多智能体编排：LangGraph 意图路由 + 多智能体协作生成 10 类学习资源</w:t>
      </w:r>
    </w:p>
    <w:p>
      <w:r>
        <w:rPr>
          <w:rFonts w:ascii="宋体" w:hAnsi="宋体" w:eastAsia="宋体"/>
          <w:b/>
          <w:i w:val="0"/>
          <w:sz w:val="21"/>
        </w:rPr>
        <w:t>持续学习与遗忘风险预测（独创亮点）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遗忘风险预测：基于艾宾浩斯曲线与学习事件频率，识别需复习学生并给出干预建议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错误模式识别：聚合班级历史易错点 TOP3，注入教案生成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教师反馈闭环：对 AI 教案 / 批改 / 诊断输出 1-5 星评分，驱动模型校准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进化日志：风险重算、易错点更新、反馈校准全程留痕，可视化进化轨迹</w:t>
      </w:r>
    </w:p>
    <w:p>
      <w:r>
        <w:rPr>
          <w:rFonts w:ascii="宋体" w:hAnsi="宋体" w:eastAsia="宋体"/>
          <w:b/>
          <w:i w:val="0"/>
          <w:sz w:val="21"/>
        </w:rPr>
        <w:t>微调模型（Qwen2.5-7B LoRA）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数据：5 本经典教材 → 7053 条 QA 对（PRML 3329 / DL Notes 1388 / 机器学习 1196 / 统计学习方法 650 / 花书 490）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训练：1 epoch · 838 步 · 13 小时 21 分 · LoRA r=8 / α=16，可训练参数 2018 万（0.264%）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效果：训练损失 3.572 → 1.730（-51.6%），17 题三轨评测（自动指标 + LLM 裁判盲评 + 人工）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二、运行效果</w:t>
      </w:r>
    </w:p>
    <w:p>
      <w:r>
        <w:rPr>
          <w:rFonts w:ascii="宋体" w:hAnsi="宋体" w:eastAsia="宋体"/>
          <w:b/>
          <w:i w:val="0"/>
          <w:sz w:val="21"/>
        </w:rPr>
        <w:t>实测性能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API 响应：普通查询 &lt;10ms，混合检索 61ms（24170 切片）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LoRA 推理：2.7s / 92 tokens（GPU），快于原 8002 服务（4.8s / 45 tokens）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全站验证：119 个 GET 端点 0 失败；前端 261 用例、后端 119 项单测全通过</w:t>
      </w:r>
    </w:p>
    <w:p>
      <w:r>
        <w:rPr>
          <w:rFonts w:ascii="宋体" w:hAnsi="宋体" w:eastAsia="宋体"/>
          <w:b/>
          <w:i w:val="0"/>
          <w:sz w:val="21"/>
        </w:rPr>
        <w:t>微调效果对比（17 题三轨评测）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维度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LoRA 微调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基座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简洁性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4.76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3.00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总分（20）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16.12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15.71</w:t>
            </w:r>
          </w:p>
        </w:tc>
      </w:tr>
    </w:tbl>
    <w:p/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结论：作业辅导 / 快速问答场景微调收益成立；基座偏百科式长篇，LoRA 精炼教材风格</w:t>
      </w:r>
    </w:p>
    <w:p>
      <w:r>
        <w:rPr>
          <w:rFonts w:ascii="宋体" w:hAnsi="宋体" w:eastAsia="宋体"/>
          <w:b/>
          <w:i w:val="0"/>
          <w:sz w:val="21"/>
        </w:rPr>
        <w:t>持续学习闭环实测（真实数据库）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遗忘风险预测：识别 3 名高风险学生（知识点级风险分 + 复习窗口建议）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反馈闭环：教师 5 星反馈 → 汇总均值实时聚合（5.0）→ 进化日志新增事件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触发一轮进化：重算风险 + 沉淀 2 条进化事件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教案生成注入：易错点 TOP3 + 校准提示自动注入，JSON 结构化输出保持正常</w:t>
      </w:r>
    </w:p>
    <w:p>
      <w:r>
        <w:rPr>
          <w:rFonts w:ascii="宋体" w:hAnsi="宋体" w:eastAsia="宋体"/>
          <w:b/>
          <w:i w:val="0"/>
          <w:sz w:val="21"/>
        </w:rPr>
        <w:t>端到端演示动线（答辩建议）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学生端：课程问答（本地微调模型）→ 代码实操（沙箱）→ 测评纠偏 → 画像更新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助教端：AI 备课（易错点注入）→ 作业批改 → 学情诊断 → 持续学习中心（风险干预）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管理端：模型网关 / 知识库 / 资源审核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sz w:val="28"/>
        </w:rPr>
        <w:t>三、创新点提炼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私有化 · 可进化 · 可信的 AI 学伴大脑：全离线部署，超越"云端 API 套壳"类产品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独创持续学习与遗忘风险预测闭环：「数据 → 预测 → 干预 → 反馈 → 进化」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微调模型 + 混合检索 + 证据链画像的深度协同，形成可答辩、可演示、可量化的差异化竞争力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