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right"/>
      </w:pPr>
      <w:r>
        <w:rPr>
          <w:rFonts w:ascii="Calibri" w:cs="Calibri" w:eastAsia="Calibri" w:hAnsi="Calibri"/>
          <w:b/>
          <w:bCs/>
          <w:i w:val="false"/>
          <w:iCs w:val="false"/>
          <w:caps/>
          <w:color w:val="0F62FE"/>
          <w:sz w:val="16"/>
          <w:szCs w:val="16"/>
        </w:rPr>
        <w:t xml:space="preserve">CONFIDENTIAL  |  APRIL 2026</w:t>
      </w:r>
    </w:p>
    <w:p>
      <w:pPr>
        <w:pBdr>
          <w:bottom w:val="single" w:color="0F62FE" w:sz="28"/>
        </w:pBdr>
        <w:spacing w:after="400" w:before="0"/>
      </w:pPr>
    </w:p>
    <w:p>
      <w:pPr>
        <w:spacing w:after="80" w:before="0"/>
      </w:pPr>
      <w:r>
        <w:rPr>
          <w:rFonts w:ascii="Calibri" w:cs="Calibri" w:eastAsia="Calibri" w:hAnsi="Calibri"/>
          <w:b/>
          <w:bCs/>
          <w:i w:val="false"/>
          <w:iCs w:val="false"/>
          <w:caps w:val="false"/>
          <w:color w:val="0F62FE"/>
          <w:sz w:val="26"/>
          <w:szCs w:val="26"/>
        </w:rPr>
        <w:t xml:space="preserve">IBM × Horizon Blue Cross Blue Shield of New Jersey</w:t>
      </w:r>
    </w:p>
    <w:p>
      <w:pPr>
        <w:spacing w:after="40" w:before="0"/>
      </w:pPr>
      <w:r>
        <w:rPr>
          <w:rFonts w:ascii="Calibri" w:cs="Calibri" w:eastAsia="Calibri" w:hAnsi="Calibri"/>
          <w:b/>
          <w:bCs/>
          <w:i w:val="false"/>
          <w:iCs w:val="false"/>
          <w:caps w:val="false"/>
          <w:color w:val="001141"/>
          <w:sz w:val="60"/>
          <w:szCs w:val="60"/>
        </w:rPr>
        <w:t xml:space="preserve">AMS Transformation</w:t>
      </w:r>
    </w:p>
    <w:p>
      <w:pPr>
        <w:spacing w:after="320" w:before="0"/>
      </w:pPr>
      <w:r>
        <w:rPr>
          <w:rFonts w:ascii="Calibri" w:cs="Calibri" w:eastAsia="Calibri" w:hAnsi="Calibri"/>
          <w:b w:val="false"/>
          <w:bCs w:val="false"/>
          <w:i w:val="false"/>
          <w:iCs w:val="false"/>
          <w:caps w:val="false"/>
          <w:color w:val="6F6F6F"/>
          <w:sz w:val="36"/>
          <w:szCs w:val="36"/>
        </w:rPr>
        <w:t xml:space="preserve">Executive Summary</w:t>
      </w:r>
    </w:p>
    <w:p>
      <w:pPr>
        <w:pBdr>
          <w:bottom w:val="single" w:color="0F62FE" w:sz="12" w:space="4"/>
        </w:pBdr>
        <w:spacing w:after="120" w:before="120"/>
      </w:pPr>
    </w:p>
    <w:p>
      <w:pPr>
        <w:spacing w:after="120" w:before="80"/>
        <w:ind w:left="431" w:right="431"/>
      </w:pPr>
      <w:r>
        <w:rPr>
          <w:rFonts w:ascii="Calibri" w:cs="Calibri" w:eastAsia="Calibri" w:hAnsi="Calibri"/>
          <w:b w:val="false"/>
          <w:bCs w:val="false"/>
          <w:i/>
          <w:iCs/>
          <w:caps w:val="false"/>
          <w:color w:val="001D6C"/>
          <w:sz w:val="21"/>
          <w:szCs w:val="21"/>
        </w:rPr>
        <w:t xml:space="preserve">“IBM is not proposing a technology project — IBM is proposing a transformation partnership that embeds AI-driven intelligence into the operating model of Horizon, enabling a future-ready enterprise that is faster, smarter, and more resilient than today.”</w:t>
      </w:r>
    </w:p>
    <w:p>
      <w:pPr>
        <w:spacing w:after="320" w:before="0"/>
        <w:jc w:val="right"/>
      </w:pPr>
      <w:r>
        <w:rPr>
          <w:rFonts w:ascii="Calibri" w:cs="Calibri" w:eastAsia="Calibri" w:hAnsi="Calibri"/>
          <w:b/>
          <w:bCs/>
          <w:i w:val="false"/>
          <w:iCs w:val="false"/>
          <w:caps w:val="false"/>
          <w:color w:val="0F62FE"/>
          <w:sz w:val="19"/>
          <w:szCs w:val="19"/>
        </w:rPr>
        <w:t xml:space="preserve">— IBM Consulting, Healthcare &amp; Payer Delivery</w:t>
      </w:r>
    </w:p>
    <w:p>
      <w:pPr>
        <w:pBdr>
          <w:bottom w:val="single" w:color="0F62FE" w:sz="12" w:space="4"/>
        </w:pBdr>
        <w:spacing w:after="120" w:before="120"/>
      </w:pPr>
    </w:p>
    <w:p>
      <w:pPr>
        <w:spacing w:after="120" w:before="0"/>
      </w:pPr>
      <w:r>
        <w:t xml:space="preserve"/>
      </w:r>
    </w:p>
    <w:p>
      <w:pPr>
        <w:spacing w:after="0" w:before="0"/>
      </w:pPr>
      <w:r>
        <w:rPr>
          <w:rFonts w:ascii="Calibri" w:cs="Calibri" w:eastAsia="Calibri" w:hAnsi="Calibri"/>
          <w:b/>
          <w:bCs/>
          <w:i w:val="false"/>
          <w:iCs w:val="false"/>
          <w:caps w:val="false"/>
          <w:color w:val="001141"/>
          <w:sz w:val="18"/>
          <w:szCs w:val="18"/>
        </w:rPr>
        <w:t xml:space="preserve">Prepared for:</w:t>
      </w:r>
    </w:p>
    <w:p>
      <w:pPr>
        <w:spacing w:after="80" w:before="20"/>
      </w:pPr>
      <w:r>
        <w:rPr>
          <w:rFonts w:ascii="Calibri" w:cs="Calibri" w:eastAsia="Calibri" w:hAnsi="Calibri"/>
          <w:b w:val="false"/>
          <w:bCs w:val="false"/>
          <w:i w:val="false"/>
          <w:iCs w:val="false"/>
          <w:caps w:val="false"/>
          <w:color w:val="161616"/>
          <w:sz w:val="21"/>
          <w:szCs w:val="21"/>
        </w:rPr>
        <w:t xml:space="preserve">Horizon Healthcare Services</w:t>
      </w:r>
    </w:p>
    <w:p>
      <w:pPr>
        <w:spacing w:after="0" w:before="0"/>
      </w:pPr>
      <w:r>
        <w:rPr>
          <w:rFonts w:ascii="Calibri" w:cs="Calibri" w:eastAsia="Calibri" w:hAnsi="Calibri"/>
          <w:b/>
          <w:bCs/>
          <w:i w:val="false"/>
          <w:iCs w:val="false"/>
          <w:caps w:val="false"/>
          <w:color w:val="001141"/>
          <w:sz w:val="18"/>
          <w:szCs w:val="18"/>
        </w:rPr>
        <w:t xml:space="preserve">Submitted by:</w:t>
      </w:r>
    </w:p>
    <w:p>
      <w:pPr>
        <w:spacing w:after="80" w:before="20"/>
      </w:pPr>
      <w:r>
        <w:rPr>
          <w:rFonts w:ascii="Calibri" w:cs="Calibri" w:eastAsia="Calibri" w:hAnsi="Calibri"/>
          <w:b w:val="false"/>
          <w:bCs w:val="false"/>
          <w:i w:val="false"/>
          <w:iCs w:val="false"/>
          <w:caps w:val="false"/>
          <w:color w:val="161616"/>
          <w:sz w:val="21"/>
          <w:szCs w:val="21"/>
        </w:rPr>
        <w:t xml:space="preserve">IBM Consulting — Healthcare &amp; Payer Delivery</w:t>
      </w:r>
    </w:p>
    <w:p>
      <w:pPr>
        <w:spacing w:after="0" w:before="0"/>
      </w:pPr>
      <w:r>
        <w:rPr>
          <w:rFonts w:ascii="Calibri" w:cs="Calibri" w:eastAsia="Calibri" w:hAnsi="Calibri"/>
          <w:b/>
          <w:bCs/>
          <w:i w:val="false"/>
          <w:iCs w:val="false"/>
          <w:caps w:val="false"/>
          <w:color w:val="001141"/>
          <w:sz w:val="18"/>
          <w:szCs w:val="18"/>
        </w:rPr>
        <w:t xml:space="preserve">Date:</w:t>
      </w:r>
    </w:p>
    <w:p>
      <w:pPr>
        <w:spacing w:after="80" w:before="20"/>
      </w:pPr>
      <w:r>
        <w:rPr>
          <w:rFonts w:ascii="Calibri" w:cs="Calibri" w:eastAsia="Calibri" w:hAnsi="Calibri"/>
          <w:b w:val="false"/>
          <w:bCs w:val="false"/>
          <w:i w:val="false"/>
          <w:iCs w:val="false"/>
          <w:caps w:val="false"/>
          <w:color w:val="161616"/>
          <w:sz w:val="21"/>
          <w:szCs w:val="21"/>
        </w:rPr>
        <w:t xml:space="preserve">April 2026</w:t>
      </w:r>
    </w:p>
    <w:p>
      <w:pPr>
        <w:spacing w:after="0" w:before="0"/>
      </w:pPr>
      <w:r>
        <w:rPr>
          <w:rFonts w:ascii="Calibri" w:cs="Calibri" w:eastAsia="Calibri" w:hAnsi="Calibri"/>
          <w:b/>
          <w:bCs/>
          <w:i w:val="false"/>
          <w:iCs w:val="false"/>
          <w:caps w:val="false"/>
          <w:color w:val="001141"/>
          <w:sz w:val="18"/>
          <w:szCs w:val="18"/>
        </w:rPr>
        <w:t xml:space="preserve">Reference:</w:t>
      </w:r>
    </w:p>
    <w:p>
      <w:pPr>
        <w:spacing w:after="80" w:before="20"/>
      </w:pPr>
      <w:r>
        <w:rPr>
          <w:rFonts w:ascii="Calibri" w:cs="Calibri" w:eastAsia="Calibri" w:hAnsi="Calibri"/>
          <w:b w:val="false"/>
          <w:bCs w:val="false"/>
          <w:i w:val="false"/>
          <w:iCs w:val="false"/>
          <w:caps w:val="false"/>
          <w:color w:val="161616"/>
          <w:sz w:val="21"/>
          <w:szCs w:val="21"/>
        </w:rPr>
        <w:t xml:space="preserve">IBM-HZN-AMS-RFP-2026-CAS</w:t>
      </w:r>
    </w:p>
    <w:p>
      <w:pPr>
        <w:spacing w:after="400" w:before="0"/>
      </w:pPr>
      <w:r>
        <w:t xml:space="preserve"/>
      </w:r>
    </w:p>
    <w:p>
      <w:pPr>
        <w:spacing w:after="60" w:before="0"/>
      </w:pPr>
      <w:r>
        <w:rPr>
          <w:rFonts w:ascii="Calibri" w:cs="Calibri" w:eastAsia="Calibri" w:hAnsi="Calibri"/>
          <w:b w:val="false"/>
          <w:bCs w:val="false"/>
          <w:i w:val="false"/>
          <w:iCs w:val="false"/>
          <w:caps w:val="false"/>
          <w:color w:val="6F6F6F"/>
          <w:sz w:val="17"/>
          <w:szCs w:val="17"/>
        </w:rPr>
        <w:t xml:space="preserve">Powered by  </w:t>
      </w:r>
      <w:r>
        <w:rPr>
          <w:rFonts w:ascii="Calibri" w:cs="Calibri" w:eastAsia="Calibri" w:hAnsi="Calibri"/>
          <w:b/>
          <w:bCs/>
          <w:i w:val="false"/>
          <w:iCs w:val="false"/>
          <w:caps w:val="false"/>
          <w:color w:val="0F62FE"/>
          <w:sz w:val="17"/>
          <w:szCs w:val="17"/>
        </w:rPr>
        <w:t xml:space="preserve">CareOps360  ·  IBM AIOps  ·  IBM Consulting Advantage  ·  ICA</w:t>
      </w:r>
    </w:p>
    <w:p>
      <w:pPr>
        <w:spacing w:after="0" w:before="0"/>
      </w:pPr>
      <w:r>
        <w:rPr>
          <w:rFonts w:ascii="Calibri" w:cs="Calibri" w:eastAsia="Calibri" w:hAnsi="Calibri"/>
          <w:b w:val="false"/>
          <w:bCs w:val="false"/>
          <w:i w:val="false"/>
          <w:iCs w:val="false"/>
          <w:caps w:val="false"/>
          <w:color w:val="6F6F6F"/>
          <w:sz w:val="16"/>
          <w:szCs w:val="16"/>
        </w:rPr>
        <w:t xml:space="preserve">© 2026 IBM Corporation. All rights reserved. This document is confidential and intended solely for Horizon Healthcare Services.</w:t>
      </w:r>
    </w:p>
    <w:p>
      <w:pPr>
        <w:spacing w:after="0" w:before="0"/>
      </w:pPr>
      <w:r>
        <w:br w:type="page"/>
      </w:r>
    </w:p>
    <w:p>
      <w:pPr>
        <w:sectPr>
          <w:pgSz w:w="11906" w:h="16838" w:orient="portrait"/>
          <w:pgMar w:top="2160" w:right="1584" w:bottom="1440" w:left="1584" w:header="708" w:footer="708" w:gutter="0"/>
          <w:pgNumType/>
          <w:docGrid w:linePitch="360"/>
        </w:sectPr>
      </w:pPr>
    </w:p>
    <w:p>
      <w:pPr>
        <w:pBdr>
          <w:top w:val="single" w:color="0F62FE" w:sz="16" w:space="6"/>
        </w:pBdr>
        <w:spacing w:after="0" w:before="280"/>
      </w:pPr>
    </w:p>
    <w:p>
      <w:pPr>
        <w:spacing w:after="60" w:before="40"/>
      </w:pPr>
      <w:r>
        <w:rPr>
          <w:rFonts w:ascii="Calibri" w:cs="Calibri" w:eastAsia="Calibri" w:hAnsi="Calibri"/>
          <w:b/>
          <w:bCs/>
          <w:i w:val="false"/>
          <w:iCs w:val="false"/>
          <w:caps w:val="false"/>
          <w:color w:val="0F62FE"/>
          <w:sz w:val="17"/>
          <w:szCs w:val="17"/>
        </w:rPr>
        <w:t xml:space="preserve">1.0  </w:t>
      </w:r>
      <w:r>
        <w:rPr>
          <w:rFonts w:ascii="Calibri" w:cs="Calibri" w:eastAsia="Calibri" w:hAnsi="Calibri"/>
          <w:b/>
          <w:bCs/>
          <w:i w:val="false"/>
          <w:iCs w:val="false"/>
          <w:caps w:val="false"/>
          <w:color w:val="001141"/>
          <w:sz w:val="26"/>
          <w:szCs w:val="26"/>
        </w:rPr>
        <w:t xml:space="preserve">EXECUTIVE SUMMARY</w:t>
      </w:r>
    </w:p>
    <w:p>
      <w:pPr>
        <w:spacing w:after="60" w:before="40"/>
      </w:pPr>
      <w:r>
        <w:rPr>
          <w:rFonts w:ascii="Calibri" w:cs="Calibri" w:eastAsia="Calibri" w:hAnsi="Calibri"/>
          <w:b w:val="false"/>
          <w:bCs w:val="false"/>
          <w:i w:val="false"/>
          <w:iCs w:val="false"/>
          <w:caps w:val="false"/>
          <w:color w:val="161616"/>
          <w:sz w:val="21"/>
          <w:szCs w:val="21"/>
        </w:rPr>
        <w:t xml:space="preserve">IBM proposes an AI-first operating model that shifts Horizon from reactive support to predictive, self-healing operations—delivering structural cost takeout, faster delivery, and measurable quality across all 500+ applications in scope.</w:t>
      </w:r>
    </w:p>
    <w:p>
      <w:pPr>
        <w:spacing w:after="40" w:before="0"/>
      </w:pPr>
      <w:r>
        <w:t xml:space="preserve"/>
      </w:r>
    </w:p>
    <w:p>
      <w:pPr>
        <w:spacing w:after="40" w:before="160"/>
      </w:pPr>
      <w:r>
        <w:rPr>
          <w:rFonts w:ascii="Calibri" w:cs="Calibri" w:eastAsia="Calibri" w:hAnsi="Calibri"/>
          <w:b/>
          <w:bCs/>
          <w:i w:val="false"/>
          <w:iCs w:val="false"/>
          <w:caps w:val="false"/>
          <w:color w:val="0F62FE"/>
          <w:sz w:val="22"/>
          <w:szCs w:val="22"/>
        </w:rPr>
        <w:t xml:space="preserve">1.1  The Moment</w:t>
      </w:r>
    </w:p>
    <w:p>
      <w:pPr>
        <w:spacing w:after="60" w:before="40"/>
      </w:pPr>
      <w:r>
        <w:rPr>
          <w:rFonts w:ascii="Calibri" w:cs="Calibri" w:eastAsia="Calibri" w:hAnsi="Calibri"/>
          <w:b w:val="false"/>
          <w:bCs w:val="false"/>
          <w:i w:val="false"/>
          <w:iCs w:val="false"/>
          <w:caps w:val="false"/>
          <w:color w:val="161616"/>
          <w:sz w:val="21"/>
          <w:szCs w:val="21"/>
        </w:rPr>
        <w:t xml:space="preserve">Horizon operates approximately 500 applications spanning enrollment, claims adjudication, member services, provider operations, and data platforms. Rising operational load, fragmented tower delivery, and manual processes increase cost and slow modernization. An AI-first, product-oriented operating model is required to deliver structural cost takeout while improving member and provider experience.</w:t>
      </w:r>
    </w:p>
    <w:p>
      <w:pPr>
        <w:spacing w:after="40" w:before="0"/>
      </w:pPr>
      <w:r>
        <w:t xml:space="preserve"/>
      </w:r>
    </w:p>
    <w:p>
      <w:pPr>
        <w:spacing w:after="40" w:before="160"/>
      </w:pPr>
      <w:r>
        <w:rPr>
          <w:rFonts w:ascii="Calibri" w:cs="Calibri" w:eastAsia="Calibri" w:hAnsi="Calibri"/>
          <w:b/>
          <w:bCs/>
          <w:i w:val="false"/>
          <w:iCs w:val="false"/>
          <w:caps w:val="false"/>
          <w:color w:val="0F62FE"/>
          <w:sz w:val="22"/>
          <w:szCs w:val="22"/>
        </w:rPr>
        <w:t xml:space="preserve">1.2  What IBM Proposes</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Transition from reactive support to predictive, self-healing operations using IBM AIOps and Intelligent Cloud Automation (ICA).</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Integrate AMS, Quality Engineering, and Data Services into product-aligned pods with end-to-end ownership.</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Embed continuous innovation within steady-state delivery—through a governed value pipeline, not separate projects.</w:t>
      </w:r>
    </w:p>
    <w:p>
      <w:pPr>
        <w:spacing w:after="80" w:before="0"/>
      </w:pPr>
      <w:r>
        <w:t xml:space="preserve"/>
      </w:r>
    </w:p>
    <w:p>
      <w:pPr>
        <w:spacing w:after="40" w:before="160"/>
      </w:pPr>
      <w:r>
        <w:rPr>
          <w:rFonts w:ascii="Calibri" w:cs="Calibri" w:eastAsia="Calibri" w:hAnsi="Calibri"/>
          <w:b/>
          <w:bCs/>
          <w:i w:val="false"/>
          <w:iCs w:val="false"/>
          <w:caps w:val="false"/>
          <w:color w:val="0F62FE"/>
          <w:sz w:val="22"/>
          <w:szCs w:val="22"/>
        </w:rPr>
        <w:t xml:space="preserve">1.3  Executive Snapshot</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340"/>
            <w:tcBorders>
              <w:top w:val="single" w:color="0F62FE" w:sz="8"/>
              <w:left w:val="single" w:color="CCCCCC" w:sz="2"/>
              <w:bottom w:val="none"/>
              <w:right w:val="single" w:color="CCCCCC" w:sz="2"/>
            </w:tcBorders>
            <w:shd w:fill="EBF2FF" w:val="solid"/>
            <w:tcMar>
              <w:top w:type="dxa" w:w="60"/>
              <w:left w:type="dxa" w:w="100"/>
              <w:bottom w:type="dxa" w:w="60"/>
              <w:right w:type="dxa" w:w="100"/>
            </w:tcMar>
          </w:tcPr>
          <w:p>
            <w:pPr>
              <w:spacing w:after="40" w:before="120"/>
              <w:jc w:val="center"/>
            </w:pPr>
            <w:r>
              <w:rPr>
                <w:rFonts w:ascii="Calibri" w:cs="Calibri" w:eastAsia="Calibri" w:hAnsi="Calibri"/>
                <w:b/>
                <w:bCs/>
                <w:i w:val="false"/>
                <w:iCs w:val="false"/>
                <w:caps w:val="false"/>
                <w:color w:val="0F62FE"/>
                <w:sz w:val="36"/>
                <w:szCs w:val="36"/>
              </w:rPr>
              <w:t xml:space="preserve">40–50%</w:t>
            </w:r>
          </w:p>
          <w:p>
            <w:pPr>
              <w:spacing w:after="120" w:before="0"/>
              <w:jc w:val="center"/>
            </w:pPr>
            <w:r>
              <w:rPr>
                <w:rFonts w:ascii="Calibri" w:cs="Calibri" w:eastAsia="Calibri" w:hAnsi="Calibri"/>
                <w:b/>
                <w:bCs/>
                <w:i w:val="false"/>
                <w:iCs w:val="false"/>
                <w:caps w:val="false"/>
                <w:color w:val="001141"/>
                <w:sz w:val="17"/>
                <w:szCs w:val="17"/>
              </w:rPr>
              <w:t xml:space="preserve">Structural Cost Takeout</w:t>
            </w:r>
          </w:p>
        </w:tc>
        <w:tc>
          <w:tcPr>
            <w:tcW w:type="dxa" w:w="2340"/>
            <w:tcBorders>
              <w:top w:val="single" w:color="0F62FE" w:sz="8"/>
              <w:left w:val="single" w:color="CCCCCC" w:sz="2"/>
              <w:bottom w:val="none"/>
              <w:right w:val="single" w:color="CCCCCC" w:sz="2"/>
            </w:tcBorders>
            <w:shd w:fill="EBF2FF" w:val="solid"/>
            <w:tcMar>
              <w:top w:type="dxa" w:w="60"/>
              <w:left w:type="dxa" w:w="100"/>
              <w:bottom w:type="dxa" w:w="60"/>
              <w:right w:type="dxa" w:w="100"/>
            </w:tcMar>
          </w:tcPr>
          <w:p>
            <w:pPr>
              <w:spacing w:after="40" w:before="120"/>
              <w:jc w:val="center"/>
            </w:pPr>
            <w:r>
              <w:rPr>
                <w:rFonts w:ascii="Calibri" w:cs="Calibri" w:eastAsia="Calibri" w:hAnsi="Calibri"/>
                <w:b/>
                <w:bCs/>
                <w:i w:val="false"/>
                <w:iCs w:val="false"/>
                <w:caps w:val="false"/>
                <w:color w:val="0F62FE"/>
                <w:sz w:val="36"/>
                <w:szCs w:val="36"/>
              </w:rPr>
              <w:t xml:space="preserve">25–40%</w:t>
            </w:r>
          </w:p>
          <w:p>
            <w:pPr>
              <w:spacing w:after="120" w:before="0"/>
              <w:jc w:val="center"/>
            </w:pPr>
            <w:r>
              <w:rPr>
                <w:rFonts w:ascii="Calibri" w:cs="Calibri" w:eastAsia="Calibri" w:hAnsi="Calibri"/>
                <w:b/>
                <w:bCs/>
                <w:i w:val="false"/>
                <w:iCs w:val="false"/>
                <w:caps w:val="false"/>
                <w:color w:val="001141"/>
                <w:sz w:val="17"/>
                <w:szCs w:val="17"/>
              </w:rPr>
              <w:t xml:space="preserve">Speed to Value</w:t>
            </w:r>
          </w:p>
        </w:tc>
        <w:tc>
          <w:tcPr>
            <w:tcW w:type="dxa" w:w="2340"/>
            <w:tcBorders>
              <w:top w:val="single" w:color="0F62FE" w:sz="8"/>
              <w:left w:val="single" w:color="CCCCCC" w:sz="2"/>
              <w:bottom w:val="none"/>
              <w:right w:val="single" w:color="CCCCCC" w:sz="2"/>
            </w:tcBorders>
            <w:shd w:fill="EBF2FF" w:val="solid"/>
            <w:tcMar>
              <w:top w:type="dxa" w:w="60"/>
              <w:left w:type="dxa" w:w="100"/>
              <w:bottom w:type="dxa" w:w="60"/>
              <w:right w:type="dxa" w:w="100"/>
            </w:tcMar>
          </w:tcPr>
          <w:p>
            <w:pPr>
              <w:spacing w:after="40" w:before="120"/>
              <w:jc w:val="center"/>
            </w:pPr>
            <w:r>
              <w:rPr>
                <w:rFonts w:ascii="Calibri" w:cs="Calibri" w:eastAsia="Calibri" w:hAnsi="Calibri"/>
                <w:b/>
                <w:bCs/>
                <w:i w:val="false"/>
                <w:iCs w:val="false"/>
                <w:caps w:val="false"/>
                <w:color w:val="0F62FE"/>
                <w:sz w:val="36"/>
                <w:szCs w:val="36"/>
              </w:rPr>
              <w:t xml:space="preserve">30%</w:t>
            </w:r>
          </w:p>
          <w:p>
            <w:pPr>
              <w:spacing w:after="120" w:before="0"/>
              <w:jc w:val="center"/>
            </w:pPr>
            <w:r>
              <w:rPr>
                <w:rFonts w:ascii="Calibri" w:cs="Calibri" w:eastAsia="Calibri" w:hAnsi="Calibri"/>
                <w:b/>
                <w:bCs/>
                <w:i w:val="false"/>
                <w:iCs w:val="false"/>
                <w:caps w:val="false"/>
                <w:color w:val="001141"/>
                <w:sz w:val="17"/>
                <w:szCs w:val="17"/>
              </w:rPr>
              <w:t xml:space="preserve">Incident Reduction</w:t>
            </w:r>
          </w:p>
        </w:tc>
        <w:tc>
          <w:tcPr>
            <w:tcW w:type="dxa" w:w="2340"/>
            <w:tcBorders>
              <w:top w:val="single" w:color="0F62FE" w:sz="8"/>
              <w:left w:val="single" w:color="CCCCCC" w:sz="2"/>
              <w:bottom w:val="none"/>
              <w:right w:val="single" w:color="CCCCCC" w:sz="2"/>
            </w:tcBorders>
            <w:shd w:fill="EBF2FF" w:val="solid"/>
            <w:tcMar>
              <w:top w:type="dxa" w:w="60"/>
              <w:left w:type="dxa" w:w="100"/>
              <w:bottom w:type="dxa" w:w="60"/>
              <w:right w:type="dxa" w:w="100"/>
            </w:tcMar>
          </w:tcPr>
          <w:p>
            <w:pPr>
              <w:spacing w:after="40" w:before="120"/>
              <w:jc w:val="center"/>
            </w:pPr>
            <w:r>
              <w:rPr>
                <w:rFonts w:ascii="Calibri" w:cs="Calibri" w:eastAsia="Calibri" w:hAnsi="Calibri"/>
                <w:b/>
                <w:bCs/>
                <w:i w:val="false"/>
                <w:iCs w:val="false"/>
                <w:caps w:val="false"/>
                <w:color w:val="0F62FE"/>
                <w:sz w:val="36"/>
                <w:szCs w:val="36"/>
              </w:rPr>
              <w:t xml:space="preserve">30–50%</w:t>
            </w:r>
          </w:p>
          <w:p>
            <w:pPr>
              <w:spacing w:after="120" w:before="0"/>
              <w:jc w:val="center"/>
            </w:pPr>
            <w:r>
              <w:rPr>
                <w:rFonts w:ascii="Calibri" w:cs="Calibri" w:eastAsia="Calibri" w:hAnsi="Calibri"/>
                <w:b/>
                <w:bCs/>
                <w:i w:val="false"/>
                <w:iCs w:val="false"/>
                <w:caps w:val="false"/>
                <w:color w:val="001141"/>
                <w:sz w:val="17"/>
                <w:szCs w:val="17"/>
              </w:rPr>
              <w:t xml:space="preserve">MTTR Reduction</w:t>
            </w:r>
          </w:p>
        </w:tc>
      </w:tr>
      <w:tr>
        <w:tc>
          <w:tcPr>
            <w:tcW w:type="dxa" w:w="2340"/>
            <w:tcBorders>
              <w:top w:val="none"/>
              <w:left w:val="single" w:color="CCCCCC" w:sz="2"/>
              <w:bottom w:val="single" w:color="CCCCCC" w:sz="2"/>
              <w:right w:val="single" w:color="CCCCCC" w:sz="2"/>
            </w:tcBorders>
            <w:shd w:fill="F2F4F8" w:val="solid"/>
            <w:tcMar>
              <w:top w:type="dxa" w:w="40"/>
              <w:left w:type="dxa" w:w="100"/>
              <w:bottom w:type="dxa" w:w="40"/>
              <w:right w:type="dxa" w:w="100"/>
            </w:tcMar>
          </w:tcPr>
          <w:p>
            <w:pPr>
              <w:spacing w:after="40" w:before="40"/>
              <w:jc w:val="center"/>
            </w:pPr>
            <w:r>
              <w:rPr>
                <w:rFonts w:ascii="Calibri" w:cs="Calibri" w:eastAsia="Calibri" w:hAnsi="Calibri"/>
                <w:b w:val="false"/>
                <w:bCs w:val="false"/>
                <w:i/>
                <w:iCs/>
                <w:caps w:val="false"/>
                <w:color w:val="6F6F6F"/>
                <w:sz w:val="17"/>
                <w:szCs w:val="17"/>
              </w:rPr>
              <w:t xml:space="preserve">operational cost reduction</w:t>
            </w:r>
          </w:p>
        </w:tc>
        <w:tc>
          <w:tcPr>
            <w:tcW w:type="dxa" w:w="2340"/>
            <w:tcBorders>
              <w:top w:val="none"/>
              <w:left w:val="single" w:color="CCCCCC" w:sz="2"/>
              <w:bottom w:val="single" w:color="CCCCCC" w:sz="2"/>
              <w:right w:val="single" w:color="CCCCCC" w:sz="2"/>
            </w:tcBorders>
            <w:shd w:fill="F2F4F8" w:val="solid"/>
            <w:tcMar>
              <w:top w:type="dxa" w:w="40"/>
              <w:left w:type="dxa" w:w="100"/>
              <w:bottom w:type="dxa" w:w="40"/>
              <w:right w:type="dxa" w:w="100"/>
            </w:tcMar>
          </w:tcPr>
          <w:p>
            <w:pPr>
              <w:spacing w:after="40" w:before="40"/>
              <w:jc w:val="center"/>
            </w:pPr>
            <w:r>
              <w:rPr>
                <w:rFonts w:ascii="Calibri" w:cs="Calibri" w:eastAsia="Calibri" w:hAnsi="Calibri"/>
                <w:b w:val="false"/>
                <w:bCs w:val="false"/>
                <w:i/>
                <w:iCs/>
                <w:caps w:val="false"/>
                <w:color w:val="6F6F6F"/>
                <w:sz w:val="17"/>
                <w:szCs w:val="17"/>
              </w:rPr>
              <w:t xml:space="preserve">time-to-market acceleration</w:t>
            </w:r>
          </w:p>
        </w:tc>
        <w:tc>
          <w:tcPr>
            <w:tcW w:type="dxa" w:w="2340"/>
            <w:tcBorders>
              <w:top w:val="none"/>
              <w:left w:val="single" w:color="CCCCCC" w:sz="2"/>
              <w:bottom w:val="single" w:color="CCCCCC" w:sz="2"/>
              <w:right w:val="single" w:color="CCCCCC" w:sz="2"/>
            </w:tcBorders>
            <w:shd w:fill="F2F4F8" w:val="solid"/>
            <w:tcMar>
              <w:top w:type="dxa" w:w="40"/>
              <w:left w:type="dxa" w:w="100"/>
              <w:bottom w:type="dxa" w:w="40"/>
              <w:right w:type="dxa" w:w="100"/>
            </w:tcMar>
          </w:tcPr>
          <w:p>
            <w:pPr>
              <w:spacing w:after="40" w:before="40"/>
              <w:jc w:val="center"/>
            </w:pPr>
            <w:r>
              <w:rPr>
                <w:rFonts w:ascii="Calibri" w:cs="Calibri" w:eastAsia="Calibri" w:hAnsi="Calibri"/>
                <w:b w:val="false"/>
                <w:bCs w:val="false"/>
                <w:i/>
                <w:iCs/>
                <w:caps w:val="false"/>
                <w:color w:val="6F6F6F"/>
                <w:sz w:val="17"/>
                <w:szCs w:val="17"/>
              </w:rPr>
              <w:t xml:space="preserve">improved availability</w:t>
            </w:r>
          </w:p>
        </w:tc>
        <w:tc>
          <w:tcPr>
            <w:tcW w:type="dxa" w:w="2340"/>
            <w:tcBorders>
              <w:top w:val="none"/>
              <w:left w:val="single" w:color="CCCCCC" w:sz="2"/>
              <w:bottom w:val="single" w:color="CCCCCC" w:sz="2"/>
              <w:right w:val="single" w:color="CCCCCC" w:sz="2"/>
            </w:tcBorders>
            <w:shd w:fill="F2F4F8" w:val="solid"/>
            <w:tcMar>
              <w:top w:type="dxa" w:w="40"/>
              <w:left w:type="dxa" w:w="100"/>
              <w:bottom w:type="dxa" w:w="40"/>
              <w:right w:type="dxa" w:w="100"/>
            </w:tcMar>
          </w:tcPr>
          <w:p>
            <w:pPr>
              <w:spacing w:after="40" w:before="40"/>
              <w:jc w:val="center"/>
            </w:pPr>
            <w:r>
              <w:rPr>
                <w:rFonts w:ascii="Calibri" w:cs="Calibri" w:eastAsia="Calibri" w:hAnsi="Calibri"/>
                <w:b w:val="false"/>
                <w:bCs w:val="false"/>
                <w:i/>
                <w:iCs/>
                <w:caps w:val="false"/>
                <w:color w:val="6F6F6F"/>
                <w:sz w:val="17"/>
                <w:szCs w:val="17"/>
              </w:rPr>
              <w:t xml:space="preserve">target &lt;1.8 hr resolution</w:t>
            </w:r>
          </w:p>
        </w:tc>
      </w:tr>
    </w:tbl>
    <w:p>
      <w:pPr>
        <w:spacing w:after="80" w:before="60"/>
      </w:pPr>
      <w:r>
        <w:rPr>
          <w:rFonts w:ascii="Calibri" w:cs="Calibri" w:eastAsia="Calibri" w:hAnsi="Calibri"/>
          <w:b w:val="false"/>
          <w:bCs w:val="false"/>
          <w:i/>
          <w:iCs/>
          <w:caps w:val="false"/>
          <w:color w:val="6F6F6F"/>
          <w:sz w:val="17"/>
          <w:szCs w:val="17"/>
        </w:rPr>
        <w:t xml:space="preserve">All targets are directional. Baselines established in Phase 0 and tracked through executive dashboards.</w:t>
      </w:r>
    </w:p>
    <w:p>
      <w:pPr>
        <w:pBdr>
          <w:top w:val="single" w:color="0F62FE" w:sz="16" w:space="6"/>
        </w:pBdr>
        <w:spacing w:after="0" w:before="280"/>
      </w:pPr>
    </w:p>
    <w:p>
      <w:pPr>
        <w:spacing w:after="60" w:before="40"/>
      </w:pPr>
      <w:r>
        <w:rPr>
          <w:rFonts w:ascii="Calibri" w:cs="Calibri" w:eastAsia="Calibri" w:hAnsi="Calibri"/>
          <w:b/>
          <w:bCs/>
          <w:i w:val="false"/>
          <w:iCs w:val="false"/>
          <w:caps w:val="false"/>
          <w:color w:val="0F62FE"/>
          <w:sz w:val="17"/>
          <w:szCs w:val="17"/>
        </w:rPr>
        <w:t xml:space="preserve">2.0  </w:t>
      </w:r>
      <w:r>
        <w:rPr>
          <w:rFonts w:ascii="Calibri" w:cs="Calibri" w:eastAsia="Calibri" w:hAnsi="Calibri"/>
          <w:b/>
          <w:bCs/>
          <w:i w:val="false"/>
          <w:iCs w:val="false"/>
          <w:caps w:val="false"/>
          <w:color w:val="001141"/>
          <w:sz w:val="26"/>
          <w:szCs w:val="26"/>
        </w:rPr>
        <w:t xml:space="preserve">TRANSFORMATION OVERVIEW</w:t>
      </w:r>
    </w:p>
    <w:p>
      <w:pPr>
        <w:spacing w:after="60" w:before="40"/>
      </w:pPr>
      <w:r>
        <w:rPr>
          <w:rFonts w:ascii="Calibri" w:cs="Calibri" w:eastAsia="Calibri" w:hAnsi="Calibri"/>
          <w:b w:val="false"/>
          <w:bCs w:val="false"/>
          <w:i w:val="false"/>
          <w:iCs w:val="false"/>
          <w:caps w:val="false"/>
          <w:color w:val="161616"/>
          <w:sz w:val="21"/>
          <w:szCs w:val="21"/>
        </w:rPr>
        <w:t xml:space="preserve">Transformation is embedded into steady-state delivery through an outcome-based governance model—compounding value across operations, engineering, and data. Product-aligned pods own outcomes end-to-end; automation removes repetitive work; and executive visibility ensures progress is measured transparently.</w:t>
      </w:r>
    </w:p>
    <w:p>
      <w:pPr>
        <w:spacing w:after="40" w:before="0"/>
      </w:pPr>
      <w:r>
        <w:t xml:space="preserve"/>
      </w:r>
    </w:p>
    <w:p>
      <w:pPr>
        <w:spacing w:after="40" w:before="160"/>
      </w:pPr>
      <w:r>
        <w:rPr>
          <w:rFonts w:ascii="Calibri" w:cs="Calibri" w:eastAsia="Calibri" w:hAnsi="Calibri"/>
          <w:b/>
          <w:bCs/>
          <w:i w:val="false"/>
          <w:iCs w:val="false"/>
          <w:caps w:val="false"/>
          <w:color w:val="0F62FE"/>
          <w:sz w:val="22"/>
          <w:szCs w:val="22"/>
        </w:rPr>
        <w:t xml:space="preserve">2.1  Six Core Tenets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995"/>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Tenet</w:t>
            </w:r>
          </w:p>
        </w:tc>
        <w:tc>
          <w:tcPr>
            <w:tcW w:type="dxa" w:w="6364"/>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Description</w:t>
            </w:r>
          </w:p>
        </w:tc>
      </w:tr>
      <w:tr>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AI-First Operating Model</w:t>
            </w:r>
          </w:p>
        </w:tc>
        <w:tc>
          <w:tcPr>
            <w:tcW w:type="dxa" w:w="6364"/>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Embed AI in triage, diagnosis, resolution, test generation, and analytics to shift from reactive to predictive.</w:t>
            </w:r>
          </w:p>
        </w:tc>
      </w:tr>
      <w:tr>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Integrated Delivery</w:t>
            </w:r>
          </w:p>
        </w:tc>
        <w:tc>
          <w:tcPr>
            <w:tcW w:type="dxa" w:w="6364"/>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Unified build + run pods across AMS, QE, and Data to reduce handoffs and accelerate change safely.</w:t>
            </w:r>
          </w:p>
        </w:tc>
      </w:tr>
      <w:tr>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Automation &amp; Self-Healing</w:t>
            </w:r>
          </w:p>
        </w:tc>
        <w:tc>
          <w:tcPr>
            <w:tcW w:type="dxa" w:w="6364"/>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Noise reduction, auto-triage, auto-remediation, and runbook automation to eliminate recurring demand.</w:t>
            </w:r>
          </w:p>
        </w:tc>
      </w:tr>
      <w:tr>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Outcome-Driven Transformation</w:t>
            </w:r>
          </w:p>
        </w:tc>
        <w:tc>
          <w:tcPr>
            <w:tcW w:type="dxa" w:w="6364"/>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Apply ticket economics to remove demand; track business impact rather than activity metrics.</w:t>
            </w:r>
          </w:p>
        </w:tc>
      </w:tr>
      <w:tr>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Continuous Innovation</w:t>
            </w:r>
          </w:p>
        </w:tc>
        <w:tc>
          <w:tcPr>
            <w:tcW w:type="dxa" w:w="6364"/>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Modernization sprints and a governed value pipeline to deliver incremental improvements continuously.</w:t>
            </w:r>
          </w:p>
        </w:tc>
      </w:tr>
      <w:tr>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Zero-Disruption Transition</w:t>
            </w:r>
          </w:p>
        </w:tc>
        <w:tc>
          <w:tcPr>
            <w:tcW w:type="dxa" w:w="6364"/>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Risk-controlled onboarding leveraging existing Horizon knowledge to maintain operational continuity.</w:t>
            </w:r>
          </w:p>
        </w:tc>
      </w:tr>
    </w:tbl>
    <w:p>
      <w:pPr>
        <w:spacing w:after="80" w:before="0"/>
      </w:pPr>
      <w:r>
        <w:t xml:space="preserve"/>
      </w:r>
    </w:p>
    <w:p>
      <w:pPr>
        <w:spacing w:after="40" w:before="160"/>
      </w:pPr>
      <w:r>
        <w:rPr>
          <w:rFonts w:ascii="Calibri" w:cs="Calibri" w:eastAsia="Calibri" w:hAnsi="Calibri"/>
          <w:b/>
          <w:bCs/>
          <w:i w:val="false"/>
          <w:iCs w:val="false"/>
          <w:caps w:val="false"/>
          <w:color w:val="0F62FE"/>
          <w:sz w:val="22"/>
          <w:szCs w:val="22"/>
        </w:rPr>
        <w:t xml:space="preserve">2.2  Current State vs. 12-Month Targets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3369"/>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Metric</w:t>
            </w:r>
          </w:p>
        </w:tc>
        <w:tc>
          <w:tcPr>
            <w:tcW w:type="dxa" w:w="1872"/>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Current</w:t>
            </w:r>
          </w:p>
        </w:tc>
        <w:tc>
          <w:tcPr>
            <w:tcW w:type="dxa" w:w="2527"/>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12-Month Target</w:t>
            </w:r>
          </w:p>
        </w:tc>
        <w:tc>
          <w:tcPr>
            <w:tcW w:type="dxa" w:w="1591"/>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Trend</w:t>
            </w:r>
          </w:p>
        </w:tc>
      </w:tr>
      <w:tr>
        <w:tc>
          <w:tcPr>
            <w:tcW w:type="dxa" w:w="336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Test Automation Coverage</w:t>
            </w:r>
          </w:p>
        </w:tc>
        <w:tc>
          <w:tcPr>
            <w:tcW w:type="dxa" w:w="1872"/>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~25%</w:t>
            </w:r>
          </w:p>
        </w:tc>
        <w:tc>
          <w:tcPr>
            <w:tcW w:type="dxa" w:w="2527"/>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80%+</w:t>
            </w:r>
          </w:p>
        </w:tc>
        <w:tc>
          <w:tcPr>
            <w:tcW w:type="dxa" w:w="159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98038"/>
                <w:sz w:val="19"/>
                <w:szCs w:val="19"/>
              </w:rPr>
              <w:t xml:space="preserve">↑ 3×</w:t>
            </w:r>
          </w:p>
        </w:tc>
      </w:tr>
      <w:tr>
        <w:tc>
          <w:tcPr>
            <w:tcW w:type="dxa" w:w="3369"/>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Mean Time to Resolve (MTTR)</w:t>
            </w:r>
          </w:p>
        </w:tc>
        <w:tc>
          <w:tcPr>
            <w:tcW w:type="dxa" w:w="1872"/>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&gt;4 hours</w:t>
            </w:r>
          </w:p>
        </w:tc>
        <w:tc>
          <w:tcPr>
            <w:tcW w:type="dxa" w:w="2527"/>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&lt;1.8 hours</w:t>
            </w:r>
          </w:p>
        </w:tc>
        <w:tc>
          <w:tcPr>
            <w:tcW w:type="dxa" w:w="159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98038"/>
                <w:sz w:val="19"/>
                <w:szCs w:val="19"/>
              </w:rPr>
              <w:t xml:space="preserve">↓ ~55%</w:t>
            </w:r>
          </w:p>
        </w:tc>
      </w:tr>
      <w:tr>
        <w:tc>
          <w:tcPr>
            <w:tcW w:type="dxa" w:w="336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Defect Escape to Production</w:t>
            </w:r>
          </w:p>
        </w:tc>
        <w:tc>
          <w:tcPr>
            <w:tcW w:type="dxa" w:w="1872"/>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High / untracked</w:t>
            </w:r>
          </w:p>
        </w:tc>
        <w:tc>
          <w:tcPr>
            <w:tcW w:type="dxa" w:w="2527"/>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65% reduction</w:t>
            </w:r>
          </w:p>
        </w:tc>
        <w:tc>
          <w:tcPr>
            <w:tcW w:type="dxa" w:w="159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98038"/>
                <w:sz w:val="19"/>
                <w:szCs w:val="19"/>
              </w:rPr>
              <w:t xml:space="preserve">↓</w:t>
            </w:r>
          </w:p>
        </w:tc>
      </w:tr>
      <w:tr>
        <w:tc>
          <w:tcPr>
            <w:tcW w:type="dxa" w:w="3369"/>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P3/P4 Auto-Resolution</w:t>
            </w:r>
          </w:p>
        </w:tc>
        <w:tc>
          <w:tcPr>
            <w:tcW w:type="dxa" w:w="1872"/>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&lt;10%</w:t>
            </w:r>
          </w:p>
        </w:tc>
        <w:tc>
          <w:tcPr>
            <w:tcW w:type="dxa" w:w="2527"/>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&gt;74%</w:t>
            </w:r>
          </w:p>
        </w:tc>
        <w:tc>
          <w:tcPr>
            <w:tcW w:type="dxa" w:w="159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98038"/>
                <w:sz w:val="19"/>
                <w:szCs w:val="19"/>
              </w:rPr>
              <w:t xml:space="preserve">↑ ~7×</w:t>
            </w:r>
          </w:p>
        </w:tc>
      </w:tr>
      <w:tr>
        <w:tc>
          <w:tcPr>
            <w:tcW w:type="dxa" w:w="336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Alert Noise per Shift</w:t>
            </w:r>
          </w:p>
        </w:tc>
        <w:tc>
          <w:tcPr>
            <w:tcW w:type="dxa" w:w="1872"/>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Unfiltered</w:t>
            </w:r>
          </w:p>
        </w:tc>
        <w:tc>
          <w:tcPr>
            <w:tcW w:type="dxa" w:w="2527"/>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&gt;60% reduced</w:t>
            </w:r>
          </w:p>
        </w:tc>
        <w:tc>
          <w:tcPr>
            <w:tcW w:type="dxa" w:w="159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98038"/>
                <w:sz w:val="19"/>
                <w:szCs w:val="19"/>
              </w:rPr>
              <w:t xml:space="preserve">↓</w:t>
            </w:r>
          </w:p>
        </w:tc>
      </w:tr>
      <w:tr>
        <w:tc>
          <w:tcPr>
            <w:tcW w:type="dxa" w:w="3369"/>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System Availability</w:t>
            </w:r>
          </w:p>
        </w:tc>
        <w:tc>
          <w:tcPr>
            <w:tcW w:type="dxa" w:w="1872"/>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~99.7%</w:t>
            </w:r>
          </w:p>
        </w:tc>
        <w:tc>
          <w:tcPr>
            <w:tcW w:type="dxa" w:w="2527"/>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99.9%+</w:t>
            </w:r>
          </w:p>
        </w:tc>
        <w:tc>
          <w:tcPr>
            <w:tcW w:type="dxa" w:w="159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98038"/>
                <w:sz w:val="19"/>
                <w:szCs w:val="19"/>
              </w:rPr>
              <w:t xml:space="preserve">↑</w:t>
            </w:r>
          </w:p>
        </w:tc>
      </w:tr>
    </w:tbl>
    <w:p>
      <w:pPr>
        <w:spacing w:after="0" w:before="0"/>
      </w:pPr>
      <w:r>
        <w:br w:type="page"/>
      </w:r>
    </w:p>
    <w:p>
      <w:pPr>
        <w:pBdr>
          <w:top w:val="single" w:color="0F62FE" w:sz="16" w:space="6"/>
        </w:pBdr>
        <w:spacing w:after="0" w:before="280"/>
      </w:pPr>
    </w:p>
    <w:p>
      <w:pPr>
        <w:spacing w:after="60" w:before="40"/>
      </w:pPr>
      <w:r>
        <w:rPr>
          <w:rFonts w:ascii="Calibri" w:cs="Calibri" w:eastAsia="Calibri" w:hAnsi="Calibri"/>
          <w:b/>
          <w:bCs/>
          <w:i w:val="false"/>
          <w:iCs w:val="false"/>
          <w:caps w:val="false"/>
          <w:color w:val="0F62FE"/>
          <w:sz w:val="17"/>
          <w:szCs w:val="17"/>
        </w:rPr>
        <w:t xml:space="preserve">3.0  </w:t>
      </w:r>
      <w:r>
        <w:rPr>
          <w:rFonts w:ascii="Calibri" w:cs="Calibri" w:eastAsia="Calibri" w:hAnsi="Calibri"/>
          <w:b/>
          <w:bCs/>
          <w:i w:val="false"/>
          <w:iCs w:val="false"/>
          <w:caps w:val="false"/>
          <w:color w:val="001141"/>
          <w:sz w:val="26"/>
          <w:szCs w:val="26"/>
        </w:rPr>
        <w:t xml:space="preserve">AIOPS &amp; AGENTIC AI OPERATIONS</w:t>
      </w:r>
    </w:p>
    <w:p>
      <w:pPr>
        <w:spacing w:after="60" w:before="40"/>
      </w:pPr>
      <w:r>
        <w:rPr>
          <w:rFonts w:ascii="Calibri" w:cs="Calibri" w:eastAsia="Calibri" w:hAnsi="Calibri"/>
          <w:b w:val="false"/>
          <w:bCs w:val="false"/>
          <w:i w:val="false"/>
          <w:iCs w:val="false"/>
          <w:caps w:val="false"/>
          <w:color w:val="161616"/>
          <w:sz w:val="21"/>
          <w:szCs w:val="21"/>
        </w:rPr>
        <w:t xml:space="preserve">IBM's AIOps platform uses correlated telemetry (logs, metrics, traces, events) and operational history (tickets, changes, knowledge) to reduce alert noise, speed triage, and automate common resolutions. Learnings from production continuously feed automation runbooks and quality gates to prevent recurrence.</w:t>
      </w:r>
    </w:p>
    <w:p>
      <w:pPr>
        <w:spacing w:after="40" w:before="0"/>
      </w:pPr>
      <w:r>
        <w:t xml:space="preserve"/>
      </w:r>
    </w:p>
    <w:p>
      <w:pPr>
        <w:spacing w:after="40" w:before="160"/>
      </w:pPr>
      <w:r>
        <w:rPr>
          <w:rFonts w:ascii="Calibri" w:cs="Calibri" w:eastAsia="Calibri" w:hAnsi="Calibri"/>
          <w:b/>
          <w:bCs/>
          <w:i w:val="false"/>
          <w:iCs w:val="false"/>
          <w:caps w:val="false"/>
          <w:color w:val="0F62FE"/>
          <w:sz w:val="22"/>
          <w:szCs w:val="22"/>
        </w:rPr>
        <w:t xml:space="preserve">3.1  Purpose-Built AI Agents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995"/>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Agent Type</w:t>
            </w:r>
          </w:p>
        </w:tc>
        <w:tc>
          <w:tcPr>
            <w:tcW w:type="dxa" w:w="3931"/>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Function</w:t>
            </w:r>
          </w:p>
        </w:tc>
        <w:tc>
          <w:tcPr>
            <w:tcW w:type="dxa" w:w="2433"/>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Value Impact (directional)</w:t>
            </w:r>
          </w:p>
        </w:tc>
      </w:tr>
      <w:tr>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Monitoring &amp; Detection</w:t>
            </w:r>
          </w:p>
        </w:tc>
        <w:tc>
          <w:tcPr>
            <w:tcW w:type="dxa" w:w="393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Correlation, grouping, anomaly detection</w:t>
            </w:r>
          </w:p>
        </w:tc>
        <w:tc>
          <w:tcPr>
            <w:tcW w:type="dxa" w:w="2433"/>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$2.5M – $3.5M</w:t>
            </w:r>
          </w:p>
        </w:tc>
      </w:tr>
      <w:tr>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Triage Agent</w:t>
            </w:r>
          </w:p>
        </w:tc>
        <w:tc>
          <w:tcPr>
            <w:tcW w:type="dxa" w:w="393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Impact-aware routing and prioritization</w:t>
            </w:r>
          </w:p>
        </w:tc>
        <w:tc>
          <w:tcPr>
            <w:tcW w:type="dxa" w:w="2433"/>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$1.3M – $1.5M</w:t>
            </w:r>
          </w:p>
        </w:tc>
      </w:tr>
      <w:tr>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Root Cause &amp; Resolution</w:t>
            </w:r>
          </w:p>
        </w:tc>
        <w:tc>
          <w:tcPr>
            <w:tcW w:type="dxa" w:w="393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Diagnosis, runbook guidance, auto-remediation</w:t>
            </w:r>
          </w:p>
        </w:tc>
        <w:tc>
          <w:tcPr>
            <w:tcW w:type="dxa" w:w="2433"/>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$2.0M – $3.0M</w:t>
            </w:r>
          </w:p>
        </w:tc>
      </w:tr>
      <w:tr>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Knowledge &amp; Feedback</w:t>
            </w:r>
          </w:p>
        </w:tc>
        <w:tc>
          <w:tcPr>
            <w:tcW w:type="dxa" w:w="393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Knowledge extraction, continuous learning</w:t>
            </w:r>
          </w:p>
        </w:tc>
        <w:tc>
          <w:tcPr>
            <w:tcW w:type="dxa" w:w="2433"/>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$1.0M – $1.3M</w:t>
            </w:r>
          </w:p>
        </w:tc>
      </w:tr>
      <w:tr>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Impact Assessment &amp; Testing</w:t>
            </w:r>
          </w:p>
        </w:tc>
        <w:tc>
          <w:tcPr>
            <w:tcW w:type="dxa" w:w="393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QE automation and validation</w:t>
            </w:r>
          </w:p>
        </w:tc>
        <w:tc>
          <w:tcPr>
            <w:tcW w:type="dxa" w:w="2433"/>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$1.2M – $2.0M</w:t>
            </w:r>
          </w:p>
        </w:tc>
      </w:tr>
      <w:tr>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Deployment Agents</w:t>
            </w:r>
          </w:p>
        </w:tc>
        <w:tc>
          <w:tcPr>
            <w:tcW w:type="dxa" w:w="393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Release automation and risk scoring</w:t>
            </w:r>
          </w:p>
        </w:tc>
        <w:tc>
          <w:tcPr>
            <w:tcW w:type="dxa" w:w="2433"/>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$0.8M – $1.2M</w:t>
            </w:r>
          </w:p>
        </w:tc>
      </w:tr>
    </w:tbl>
    <w:p>
      <w:pPr>
        <w:spacing w:after="80" w:before="0"/>
      </w:pPr>
      <w:r>
        <w:t xml:space="preserve"/>
      </w:r>
    </w:p>
    <w:p>
      <w:pPr>
        <w:spacing w:after="40" w:before="160"/>
      </w:pPr>
      <w:r>
        <w:rPr>
          <w:rFonts w:ascii="Calibri" w:cs="Calibri" w:eastAsia="Calibri" w:hAnsi="Calibri"/>
          <w:b/>
          <w:bCs/>
          <w:i w:val="false"/>
          <w:iCs w:val="false"/>
          <w:caps w:val="false"/>
          <w:color w:val="0F62FE"/>
          <w:sz w:val="22"/>
          <w:szCs w:val="22"/>
        </w:rPr>
        <w:t xml:space="preserve">3.2  Expected Operational Impact</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&gt;60% alert noise reduction through correlation and de-duplication, improving engineer focus on real issues.</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&lt;1.8 hours MTTR target through intelligent routing, guided diagnostics, and auto-remediation workflows.</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&gt;74% auto-resolution for P3/P4 incidents via self-heal runbooks and workflow automation.</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Closed-loop learning across Incident → Problem → Change to prevent recurrence and reduce demand over time.</w:t>
      </w:r>
    </w:p>
    <w:p>
      <w:pPr>
        <w:spacing w:after="0" w:before="0"/>
      </w:pPr>
      <w:r>
        <w:br w:type="page"/>
      </w:r>
    </w:p>
    <w:p>
      <w:pPr>
        <w:pBdr>
          <w:top w:val="single" w:color="0F62FE" w:sz="16" w:space="6"/>
        </w:pBdr>
        <w:spacing w:after="0" w:before="280"/>
      </w:pPr>
    </w:p>
    <w:p>
      <w:pPr>
        <w:spacing w:after="60" w:before="40"/>
      </w:pPr>
      <w:r>
        <w:rPr>
          <w:rFonts w:ascii="Calibri" w:cs="Calibri" w:eastAsia="Calibri" w:hAnsi="Calibri"/>
          <w:b/>
          <w:bCs/>
          <w:i w:val="false"/>
          <w:iCs w:val="false"/>
          <w:caps w:val="false"/>
          <w:color w:val="0F62FE"/>
          <w:sz w:val="17"/>
          <w:szCs w:val="17"/>
        </w:rPr>
        <w:t xml:space="preserve">4.0  </w:t>
      </w:r>
      <w:r>
        <w:rPr>
          <w:rFonts w:ascii="Calibri" w:cs="Calibri" w:eastAsia="Calibri" w:hAnsi="Calibri"/>
          <w:b/>
          <w:bCs/>
          <w:i w:val="false"/>
          <w:iCs w:val="false"/>
          <w:caps w:val="false"/>
          <w:color w:val="001141"/>
          <w:sz w:val="26"/>
          <w:szCs w:val="26"/>
        </w:rPr>
        <w:t xml:space="preserve">PLATFORM &amp; DATA MODERNIZATION</w:t>
      </w:r>
    </w:p>
    <w:p>
      <w:pPr>
        <w:spacing w:after="60" w:before="40"/>
      </w:pPr>
      <w:r>
        <w:rPr>
          <w:rFonts w:ascii="Calibri" w:cs="Calibri" w:eastAsia="Calibri" w:hAnsi="Calibri"/>
          <w:b w:val="false"/>
          <w:bCs w:val="false"/>
          <w:i w:val="false"/>
          <w:iCs w:val="false"/>
          <w:caps w:val="false"/>
          <w:color w:val="161616"/>
          <w:sz w:val="21"/>
          <w:szCs w:val="21"/>
        </w:rPr>
        <w:t xml:space="preserve">This workstream modernizes how Horizon integrates, upgrades, and governs platforms—reducing technical debt, improving security posture, and enabling faster change with lower risk. Delivered as a value chain: standardize integration patterns, instrument for observability, automate operations, and report outcomes through governance.</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Integration modernization: Evolve from point-to-point and batch-heavy patterns to API-first and event-driven integration.</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Mainframe modernization (phased): API-wrap → rehost → refactor approach with parallel-run validation and risk gates.</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Technical debt governance (n-1 standard): Maintain stacks at n-1 versions with monthly compliance reporting and emergency patching for critical CVEs.</w:t>
      </w:r>
    </w:p>
    <w:p>
      <w:pPr>
        <w:spacing w:after="80" w:before="0"/>
      </w:pPr>
      <w:r>
        <w:t xml:space="preserve"/>
      </w:r>
    </w:p>
    <w:p>
      <w:pPr>
        <w:spacing w:after="40" w:before="160"/>
      </w:pPr>
      <w:r>
        <w:rPr>
          <w:rFonts w:ascii="Calibri" w:cs="Calibri" w:eastAsia="Calibri" w:hAnsi="Calibri"/>
          <w:b/>
          <w:bCs/>
          <w:i w:val="false"/>
          <w:iCs w:val="false"/>
          <w:caps w:val="false"/>
          <w:color w:val="0F62FE"/>
          <w:sz w:val="22"/>
          <w:szCs w:val="22"/>
        </w:rPr>
        <w:t xml:space="preserve">4.1  Workstream Timeline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808"/>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Workstream</w:t>
            </w:r>
          </w:p>
        </w:tc>
        <w:tc>
          <w:tcPr>
            <w:tcW w:type="dxa" w:w="4118"/>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Approach</w:t>
            </w:r>
          </w:p>
        </w:tc>
        <w:tc>
          <w:tcPr>
            <w:tcW w:type="dxa" w:w="2433"/>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Timeline</w:t>
            </w:r>
          </w:p>
        </w:tc>
      </w:tr>
      <w:tr>
        <w:tc>
          <w:tcPr>
            <w:tcW w:type="dxa" w:w="2808"/>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Integration Hub</w:t>
            </w:r>
          </w:p>
        </w:tc>
        <w:tc>
          <w:tcPr>
            <w:tcW w:type="dxa" w:w="4118"/>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API-first hub; event streaming architecture</w:t>
            </w:r>
          </w:p>
        </w:tc>
        <w:tc>
          <w:tcPr>
            <w:tcW w:type="dxa" w:w="2433"/>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Year 1</w:t>
            </w:r>
          </w:p>
        </w:tc>
      </w:tr>
      <w:tr>
        <w:tc>
          <w:tcPr>
            <w:tcW w:type="dxa" w:w="2808"/>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Mainframe Workloads</w:t>
            </w:r>
          </w:p>
        </w:tc>
        <w:tc>
          <w:tcPr>
            <w:tcW w:type="dxa" w:w="4118"/>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API-wrap → rehost → refactor with parallel-run validation</w:t>
            </w:r>
          </w:p>
        </w:tc>
        <w:tc>
          <w:tcPr>
            <w:tcW w:type="dxa" w:w="2433"/>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Year 1–2</w:t>
            </w:r>
          </w:p>
        </w:tc>
      </w:tr>
      <w:tr>
        <w:tc>
          <w:tcPr>
            <w:tcW w:type="dxa" w:w="2808"/>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Application Portfolio (~500 apps)</w:t>
            </w:r>
          </w:p>
        </w:tc>
        <w:tc>
          <w:tcPr>
            <w:tcW w:type="dxa" w:w="4118"/>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Assess, rationalize and modernize through ongoing delivery sprints</w:t>
            </w:r>
          </w:p>
        </w:tc>
        <w:tc>
          <w:tcPr>
            <w:tcW w:type="dxa" w:w="2433"/>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Ongoing</w:t>
            </w:r>
          </w:p>
        </w:tc>
      </w:tr>
      <w:tr>
        <w:tc>
          <w:tcPr>
            <w:tcW w:type="dxa" w:w="2808"/>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DataOps</w:t>
            </w:r>
          </w:p>
        </w:tc>
        <w:tc>
          <w:tcPr>
            <w:tcW w:type="dxa" w:w="4118"/>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Pipeline intelligence and quality engine</w:t>
            </w:r>
          </w:p>
        </w:tc>
        <w:tc>
          <w:tcPr>
            <w:tcW w:type="dxa" w:w="2433"/>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Months 3–12</w:t>
            </w:r>
          </w:p>
        </w:tc>
      </w:tr>
    </w:tbl>
    <w:p>
      <w:pPr>
        <w:spacing w:after="0" w:before="0"/>
      </w:pPr>
      <w:r>
        <w:br w:type="page"/>
      </w:r>
    </w:p>
    <w:p>
      <w:pPr>
        <w:pBdr>
          <w:top w:val="single" w:color="0F62FE" w:sz="16" w:space="6"/>
        </w:pBdr>
        <w:spacing w:after="0" w:before="280"/>
      </w:pPr>
    </w:p>
    <w:p>
      <w:pPr>
        <w:spacing w:after="60" w:before="40"/>
      </w:pPr>
      <w:r>
        <w:rPr>
          <w:rFonts w:ascii="Calibri" w:cs="Calibri" w:eastAsia="Calibri" w:hAnsi="Calibri"/>
          <w:b/>
          <w:bCs/>
          <w:i w:val="false"/>
          <w:iCs w:val="false"/>
          <w:caps w:val="false"/>
          <w:color w:val="0F62FE"/>
          <w:sz w:val="17"/>
          <w:szCs w:val="17"/>
        </w:rPr>
        <w:t xml:space="preserve">5.0  </w:t>
      </w:r>
      <w:r>
        <w:rPr>
          <w:rFonts w:ascii="Calibri" w:cs="Calibri" w:eastAsia="Calibri" w:hAnsi="Calibri"/>
          <w:b/>
          <w:bCs/>
          <w:i w:val="false"/>
          <w:iCs w:val="false"/>
          <w:caps w:val="false"/>
          <w:color w:val="001141"/>
          <w:sz w:val="26"/>
          <w:szCs w:val="26"/>
        </w:rPr>
        <w:t xml:space="preserve">QUALITY ENGINEERING</w:t>
      </w:r>
    </w:p>
    <w:p>
      <w:pPr>
        <w:spacing w:after="60" w:before="40"/>
      </w:pPr>
      <w:r>
        <w:rPr>
          <w:rFonts w:ascii="Calibri" w:cs="Calibri" w:eastAsia="Calibri" w:hAnsi="Calibri"/>
          <w:b w:val="false"/>
          <w:bCs w:val="false"/>
          <w:i w:val="false"/>
          <w:iCs w:val="false"/>
          <w:caps w:val="false"/>
          <w:color w:val="161616"/>
          <w:sz w:val="21"/>
          <w:szCs w:val="21"/>
        </w:rPr>
        <w:t xml:space="preserve">Quality is treated as an always-on control system. GenAI-assisted test generation and maintenance increases automation coverage; shift-left quality gates catch defects earlier; and release readiness is measured continuously to reduce production escapes and incident volumes. Production insights feed back into the test suite so coverage improves with every release.</w:t>
      </w:r>
    </w:p>
    <w:p>
      <w:pPr>
        <w:spacing w:after="80" w:before="0"/>
      </w:pPr>
      <w:r>
        <w:t xml:space="preserve"/>
      </w:r>
    </w:p>
    <w:p>
      <w:pPr>
        <w:spacing w:after="40" w:before="160"/>
      </w:pPr>
      <w:r>
        <w:rPr>
          <w:rFonts w:ascii="Calibri" w:cs="Calibri" w:eastAsia="Calibri" w:hAnsi="Calibri"/>
          <w:b/>
          <w:bCs/>
          <w:i w:val="false"/>
          <w:iCs w:val="false"/>
          <w:caps w:val="false"/>
          <w:color w:val="0F62FE"/>
          <w:sz w:val="22"/>
          <w:szCs w:val="22"/>
        </w:rPr>
        <w:t xml:space="preserve">5.1  Quality Progression Targets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995"/>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Quality Metric</w:t>
            </w:r>
          </w:p>
        </w:tc>
        <w:tc>
          <w:tcPr>
            <w:tcW w:type="dxa" w:w="1591"/>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Current</w:t>
            </w:r>
          </w:p>
        </w:tc>
        <w:tc>
          <w:tcPr>
            <w:tcW w:type="dxa" w:w="2340"/>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6-Month Target</w:t>
            </w:r>
          </w:p>
        </w:tc>
        <w:tc>
          <w:tcPr>
            <w:tcW w:type="dxa" w:w="2433"/>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12-Month Target</w:t>
            </w:r>
          </w:p>
        </w:tc>
      </w:tr>
      <w:tr>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Automation Coverage</w:t>
            </w:r>
          </w:p>
        </w:tc>
        <w:tc>
          <w:tcPr>
            <w:tcW w:type="dxa" w:w="159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~25%</w:t>
            </w:r>
          </w:p>
        </w:tc>
        <w:tc>
          <w:tcPr>
            <w:tcW w:type="dxa" w:w="2340"/>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55%</w:t>
            </w:r>
          </w:p>
        </w:tc>
        <w:tc>
          <w:tcPr>
            <w:tcW w:type="dxa" w:w="2433"/>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80%+</w:t>
            </w:r>
          </w:p>
        </w:tc>
      </w:tr>
      <w:tr>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Defect Escape to Production</w:t>
            </w:r>
          </w:p>
        </w:tc>
        <w:tc>
          <w:tcPr>
            <w:tcW w:type="dxa" w:w="159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High</w:t>
            </w:r>
          </w:p>
        </w:tc>
        <w:tc>
          <w:tcPr>
            <w:tcW w:type="dxa" w:w="2340"/>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40% reduction</w:t>
            </w:r>
          </w:p>
        </w:tc>
        <w:tc>
          <w:tcPr>
            <w:tcW w:type="dxa" w:w="2433"/>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65% reduction</w:t>
            </w:r>
          </w:p>
        </w:tc>
      </w:tr>
      <w:tr>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Regression Cycle Time</w:t>
            </w:r>
          </w:p>
        </w:tc>
        <w:tc>
          <w:tcPr>
            <w:tcW w:type="dxa" w:w="159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Multi-day</w:t>
            </w:r>
          </w:p>
        </w:tc>
        <w:tc>
          <w:tcPr>
            <w:tcW w:type="dxa" w:w="2340"/>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50% faster</w:t>
            </w:r>
          </w:p>
        </w:tc>
        <w:tc>
          <w:tcPr>
            <w:tcW w:type="dxa" w:w="2433"/>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70% faster</w:t>
            </w:r>
          </w:p>
        </w:tc>
      </w:tr>
      <w:tr>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Mean Time to Detect (MTTD)</w:t>
            </w:r>
          </w:p>
        </w:tc>
        <w:tc>
          <w:tcPr>
            <w:tcW w:type="dxa" w:w="159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&gt;2 hours</w:t>
            </w:r>
          </w:p>
        </w:tc>
        <w:tc>
          <w:tcPr>
            <w:tcW w:type="dxa" w:w="2340"/>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&lt;30 minutes</w:t>
            </w:r>
          </w:p>
        </w:tc>
        <w:tc>
          <w:tcPr>
            <w:tcW w:type="dxa" w:w="2433"/>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0F62FE"/>
                <w:sz w:val="19"/>
                <w:szCs w:val="19"/>
              </w:rPr>
              <w:t xml:space="preserve">&lt;15 minutes</w:t>
            </w:r>
          </w:p>
        </w:tc>
      </w:tr>
    </w:tbl>
    <w:p>
      <w:pPr>
        <w:spacing w:after="0" w:before="0"/>
      </w:pPr>
      <w:r>
        <w:br w:type="page"/>
      </w:r>
    </w:p>
    <w:p>
      <w:pPr>
        <w:pBdr>
          <w:top w:val="single" w:color="0F62FE" w:sz="16" w:space="6"/>
        </w:pBdr>
        <w:spacing w:after="0" w:before="280"/>
      </w:pPr>
    </w:p>
    <w:p>
      <w:pPr>
        <w:spacing w:after="60" w:before="40"/>
      </w:pPr>
      <w:r>
        <w:rPr>
          <w:rFonts w:ascii="Calibri" w:cs="Calibri" w:eastAsia="Calibri" w:hAnsi="Calibri"/>
          <w:b/>
          <w:bCs/>
          <w:i w:val="false"/>
          <w:iCs w:val="false"/>
          <w:caps w:val="false"/>
          <w:color w:val="0F62FE"/>
          <w:sz w:val="17"/>
          <w:szCs w:val="17"/>
        </w:rPr>
        <w:t xml:space="preserve">6.0  </w:t>
      </w:r>
      <w:r>
        <w:rPr>
          <w:rFonts w:ascii="Calibri" w:cs="Calibri" w:eastAsia="Calibri" w:hAnsi="Calibri"/>
          <w:b/>
          <w:bCs/>
          <w:i w:val="false"/>
          <w:iCs w:val="false"/>
          <w:caps w:val="false"/>
          <w:color w:val="001141"/>
          <w:sz w:val="26"/>
          <w:szCs w:val="26"/>
        </w:rPr>
        <w:t xml:space="preserve">PHASED ROADMAP &amp; GOVERNANCE</w:t>
      </w:r>
    </w:p>
    <w:p>
      <w:pPr>
        <w:spacing w:after="60" w:before="40"/>
      </w:pPr>
      <w:r>
        <w:rPr>
          <w:rFonts w:ascii="Calibri" w:cs="Calibri" w:eastAsia="Calibri" w:hAnsi="Calibri"/>
          <w:b w:val="false"/>
          <w:bCs w:val="false"/>
          <w:i w:val="false"/>
          <w:iCs w:val="false"/>
          <w:caps w:val="false"/>
          <w:color w:val="161616"/>
          <w:sz w:val="21"/>
          <w:szCs w:val="21"/>
        </w:rPr>
        <w:t xml:space="preserve">The transformation follows a structured, risk-controlled journey from stabilization to autonomous operations. Each phase builds on the last—compounding value with every release while protecting operational continuity throughout.</w:t>
      </w:r>
    </w:p>
    <w:p>
      <w:pPr>
        <w:spacing w:after="40" w:before="0"/>
      </w:pPr>
      <w:r>
        <w:t xml:space="preserve"/>
      </w:r>
    </w:p>
    <w:p>
      <w:pPr>
        <w:spacing w:after="40" w:before="160"/>
      </w:pPr>
      <w:r>
        <w:rPr>
          <w:rFonts w:ascii="Calibri" w:cs="Calibri" w:eastAsia="Calibri" w:hAnsi="Calibri"/>
          <w:b/>
          <w:bCs/>
          <w:i w:val="false"/>
          <w:iCs w:val="false"/>
          <w:caps w:val="false"/>
          <w:color w:val="0F62FE"/>
          <w:sz w:val="22"/>
          <w:szCs w:val="22"/>
        </w:rPr>
        <w:t xml:space="preserve">6.1  Phased Delivery Roadmap</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059"/>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Phase</w:t>
            </w:r>
          </w:p>
        </w:tc>
        <w:tc>
          <w:tcPr>
            <w:tcW w:type="dxa" w:w="1591"/>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Timeframe</w:t>
            </w:r>
          </w:p>
        </w:tc>
        <w:tc>
          <w:tcPr>
            <w:tcW w:type="dxa" w:w="5709"/>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Key Deliverables</w:t>
            </w:r>
          </w:p>
        </w:tc>
      </w:tr>
      <w:tr>
        <w:tc>
          <w:tcPr>
            <w:tcW w:type="dxa" w:w="205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Phase 0 — Foundation</w:t>
            </w:r>
          </w:p>
        </w:tc>
        <w:tc>
          <w:tcPr>
            <w:tcW w:type="dxa" w:w="159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0–8 weeks</w:t>
            </w:r>
          </w:p>
        </w:tc>
        <w:tc>
          <w:tcPr>
            <w:tcW w:type="dxa" w:w="570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Baselines and discovery; transition plan; telemetry onboarding; AI enablement</w:t>
            </w:r>
          </w:p>
        </w:tc>
      </w:tr>
      <w:tr>
        <w:tc>
          <w:tcPr>
            <w:tcW w:type="dxa" w:w="2059"/>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Phase 1 — Ignite</w:t>
            </w:r>
          </w:p>
        </w:tc>
        <w:tc>
          <w:tcPr>
            <w:tcW w:type="dxa" w:w="159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1–3 months</w:t>
            </w:r>
          </w:p>
        </w:tc>
        <w:tc>
          <w:tcPr>
            <w:tcW w:type="dxa" w:w="5709"/>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Initial AIOps deployment; QE automation framework; innovation council; quick-win automations</w:t>
            </w:r>
          </w:p>
        </w:tc>
      </w:tr>
      <w:tr>
        <w:tc>
          <w:tcPr>
            <w:tcW w:type="dxa" w:w="205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Phase 2 — Scale</w:t>
            </w:r>
          </w:p>
        </w:tc>
        <w:tc>
          <w:tcPr>
            <w:tcW w:type="dxa" w:w="159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3–6 months</w:t>
            </w:r>
          </w:p>
        </w:tc>
        <w:tc>
          <w:tcPr>
            <w:tcW w:type="dxa" w:w="570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Expand self-heal; agentic triage live; integration modernization pilots; DataOps monitoring expanded</w:t>
            </w:r>
          </w:p>
        </w:tc>
      </w:tr>
      <w:tr>
        <w:tc>
          <w:tcPr>
            <w:tcW w:type="dxa" w:w="2059"/>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Phase 3 — Optimize</w:t>
            </w:r>
          </w:p>
        </w:tc>
        <w:tc>
          <w:tcPr>
            <w:tcW w:type="dxa" w:w="1591"/>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6–12 months</w:t>
            </w:r>
          </w:p>
        </w:tc>
        <w:tc>
          <w:tcPr>
            <w:tcW w:type="dxa" w:w="5709"/>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Autonomous ops for common incidents; advanced QE gates; continuous modernization sprints; outcome reporting</w:t>
            </w:r>
          </w:p>
        </w:tc>
      </w:tr>
      <w:tr>
        <w:tc>
          <w:tcPr>
            <w:tcW w:type="dxa" w:w="205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Phase 4 — Transform</w:t>
            </w:r>
          </w:p>
        </w:tc>
        <w:tc>
          <w:tcPr>
            <w:tcW w:type="dxa" w:w="1591"/>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12–24 months</w:t>
            </w:r>
          </w:p>
        </w:tc>
        <w:tc>
          <w:tcPr>
            <w:tcW w:type="dxa" w:w="5709"/>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Broader autonomy; platform modernization milestones; enterprise observability; co-invest opportunities</w:t>
            </w:r>
          </w:p>
        </w:tc>
      </w:tr>
    </w:tbl>
    <w:p>
      <w:pPr>
        <w:spacing w:after="120" w:before="0"/>
      </w:pPr>
      <w:r>
        <w:t xml:space="preserve"/>
      </w:r>
    </w:p>
    <w:p>
      <w:pPr>
        <w:spacing w:after="40" w:before="160"/>
      </w:pPr>
      <w:r>
        <w:rPr>
          <w:rFonts w:ascii="Calibri" w:cs="Calibri" w:eastAsia="Calibri" w:hAnsi="Calibri"/>
          <w:b/>
          <w:bCs/>
          <w:i w:val="false"/>
          <w:iCs w:val="false"/>
          <w:caps w:val="false"/>
          <w:color w:val="0F62FE"/>
          <w:sz w:val="22"/>
          <w:szCs w:val="22"/>
        </w:rPr>
        <w:t xml:space="preserve">6.2  KPI Framework</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620"/>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Value Area</w:t>
            </w:r>
          </w:p>
        </w:tc>
        <w:tc>
          <w:tcPr>
            <w:tcW w:type="dxa" w:w="3744"/>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Primary KPIs</w:t>
            </w:r>
          </w:p>
        </w:tc>
        <w:tc>
          <w:tcPr>
            <w:tcW w:type="dxa" w:w="2995"/>
            <w:tcBorders>
              <w:top w:val="single" w:color="0F62FE" w:sz="4"/>
              <w:left w:val="single" w:color="0F62FE" w:sz="4"/>
              <w:bottom w:val="single" w:color="0F62FE" w:sz="4"/>
              <w:right w:val="single" w:color="0F62FE" w:sz="4"/>
            </w:tcBorders>
            <w:shd w:fill="001141"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FFFFFF"/>
                <w:sz w:val="19"/>
                <w:szCs w:val="19"/>
              </w:rPr>
              <w:t xml:space="preserve">Measurement Source</w:t>
            </w:r>
          </w:p>
        </w:tc>
      </w:tr>
      <w:tr>
        <w:tc>
          <w:tcPr>
            <w:tcW w:type="dxa" w:w="2620"/>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Operational Excellence</w:t>
            </w:r>
          </w:p>
        </w:tc>
        <w:tc>
          <w:tcPr>
            <w:tcW w:type="dxa" w:w="3744"/>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MTTR, incident volume, system availability</w:t>
            </w:r>
          </w:p>
        </w:tc>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ITSM + monitoring + AIOps telemetry</w:t>
            </w:r>
          </w:p>
        </w:tc>
      </w:tr>
      <w:tr>
        <w:tc>
          <w:tcPr>
            <w:tcW w:type="dxa" w:w="2620"/>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Automation &amp; Self-Heal</w:t>
            </w:r>
          </w:p>
        </w:tc>
        <w:tc>
          <w:tcPr>
            <w:tcW w:type="dxa" w:w="3744"/>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Auto-resolution %, self-heal count, noise reduction</w:t>
            </w:r>
          </w:p>
        </w:tc>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ICA / AIOps telemetry</w:t>
            </w:r>
          </w:p>
        </w:tc>
      </w:tr>
      <w:tr>
        <w:tc>
          <w:tcPr>
            <w:tcW w:type="dxa" w:w="2620"/>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Quality Engineering</w:t>
            </w:r>
          </w:p>
        </w:tc>
        <w:tc>
          <w:tcPr>
            <w:tcW w:type="dxa" w:w="3744"/>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Automation coverage, defect leakage, regression time</w:t>
            </w:r>
          </w:p>
        </w:tc>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QE toolchain + CI/CD</w:t>
            </w:r>
          </w:p>
        </w:tc>
      </w:tr>
      <w:tr>
        <w:tc>
          <w:tcPr>
            <w:tcW w:type="dxa" w:w="2620"/>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Modernization</w:t>
            </w:r>
          </w:p>
        </w:tc>
        <w:tc>
          <w:tcPr>
            <w:tcW w:type="dxa" w:w="3744"/>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Upgrade velocity, n-1 compliance %, tech debt burndown</w:t>
            </w:r>
          </w:p>
        </w:tc>
        <w:tc>
          <w:tcPr>
            <w:tcW w:type="dxa" w:w="2995"/>
            <w:tcBorders>
              <w:top w:val="single" w:color="DDDDDD" w:sz="2"/>
              <w:left w:val="single" w:color="DDDDDD" w:sz="2"/>
              <w:bottom w:val="single" w:color="DDDDDD" w:sz="2"/>
              <w:right w:val="single" w:color="DDDDDD" w:sz="2"/>
            </w:tcBorders>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Roadmap + CMDB + security scans</w:t>
            </w:r>
          </w:p>
        </w:tc>
      </w:tr>
      <w:tr>
        <w:tc>
          <w:tcPr>
            <w:tcW w:type="dxa" w:w="2620"/>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bCs/>
                <w:i w:val="false"/>
                <w:iCs w:val="false"/>
                <w:caps w:val="false"/>
                <w:color w:val="161616"/>
                <w:sz w:val="19"/>
                <w:szCs w:val="19"/>
              </w:rPr>
              <w:t xml:space="preserve">Business Outcomes</w:t>
            </w:r>
          </w:p>
        </w:tc>
        <w:tc>
          <w:tcPr>
            <w:tcW w:type="dxa" w:w="3744"/>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Claims cycle time, enrollment time-to-good, ASA/FCR</w:t>
            </w:r>
          </w:p>
        </w:tc>
        <w:tc>
          <w:tcPr>
            <w:tcW w:type="dxa" w:w="2995"/>
            <w:tcBorders>
              <w:top w:val="single" w:color="DDDDDD" w:sz="2"/>
              <w:left w:val="single" w:color="DDDDDD" w:sz="2"/>
              <w:bottom w:val="single" w:color="DDDDDD" w:sz="2"/>
              <w:right w:val="single" w:color="DDDDDD" w:sz="2"/>
            </w:tcBorders>
            <w:shd w:fill="F2F4F8" w:val="solid"/>
            <w:tcMar>
              <w:top w:type="dxa" w:w="40"/>
              <w:left w:type="dxa" w:w="100"/>
              <w:bottom w:type="dxa" w:w="40"/>
              <w:right w:type="dxa" w:w="100"/>
            </w:tcMar>
          </w:tcPr>
          <w:p>
            <w:pPr>
              <w:spacing w:after="50" w:before="50"/>
            </w:pPr>
            <w:r>
              <w:rPr>
                <w:rFonts w:ascii="Calibri" w:cs="Calibri" w:eastAsia="Calibri" w:hAnsi="Calibri"/>
                <w:b w:val="false"/>
                <w:bCs w:val="false"/>
                <w:i w:val="false"/>
                <w:iCs w:val="false"/>
                <w:caps w:val="false"/>
                <w:color w:val="161616"/>
                <w:sz w:val="19"/>
                <w:szCs w:val="19"/>
              </w:rPr>
              <w:t xml:space="preserve">Ops domain dashboards</w:t>
            </w:r>
          </w:p>
        </w:tc>
      </w:tr>
    </w:tbl>
    <w:p>
      <w:pPr>
        <w:spacing w:after="60" w:before="40"/>
      </w:pPr>
      <w:r>
        <w:rPr>
          <w:rFonts w:ascii="Calibri" w:cs="Calibri" w:eastAsia="Calibri" w:hAnsi="Calibri"/>
          <w:b w:val="false"/>
          <w:bCs w:val="false"/>
          <w:i w:val="false"/>
          <w:iCs w:val="false"/>
          <w:caps w:val="false"/>
          <w:color w:val="161616"/>
          <w:sz w:val="21"/>
          <w:szCs w:val="21"/>
        </w:rPr>
        <w:t xml:space="preserve">Reporting is transparent: operational dashboards reviewed monthly; executive outcomes reviewed quarterly. A continuous improvement loop ensures production insights feed both QE and automation backlogs.</w:t>
      </w:r>
    </w:p>
    <w:p>
      <w:pPr>
        <w:spacing w:after="0" w:before="0"/>
      </w:pPr>
      <w:r>
        <w:br w:type="page"/>
      </w:r>
    </w:p>
    <w:p>
      <w:pPr>
        <w:pBdr>
          <w:top w:val="single" w:color="0F62FE" w:sz="16" w:space="6"/>
        </w:pBdr>
        <w:spacing w:after="0" w:before="280"/>
      </w:pPr>
    </w:p>
    <w:p>
      <w:pPr>
        <w:spacing w:after="60" w:before="40"/>
      </w:pPr>
      <w:r>
        <w:rPr>
          <w:rFonts w:ascii="Calibri" w:cs="Calibri" w:eastAsia="Calibri" w:hAnsi="Calibri"/>
          <w:b/>
          <w:bCs/>
          <w:i w:val="false"/>
          <w:iCs w:val="false"/>
          <w:caps w:val="false"/>
          <w:color w:val="0F62FE"/>
          <w:sz w:val="17"/>
          <w:szCs w:val="17"/>
        </w:rPr>
        <w:t xml:space="preserve">7.0  </w:t>
      </w:r>
      <w:r>
        <w:rPr>
          <w:rFonts w:ascii="Calibri" w:cs="Calibri" w:eastAsia="Calibri" w:hAnsi="Calibri"/>
          <w:b/>
          <w:bCs/>
          <w:i w:val="false"/>
          <w:iCs w:val="false"/>
          <w:caps w:val="false"/>
          <w:color w:val="001141"/>
          <w:sz w:val="26"/>
          <w:szCs w:val="26"/>
        </w:rPr>
        <w:t xml:space="preserve">WHY IBM</w:t>
      </w:r>
    </w:p>
    <w:p>
      <w:pPr>
        <w:spacing w:after="60" w:before="40"/>
      </w:pPr>
      <w:r>
        <w:rPr>
          <w:rFonts w:ascii="Calibri" w:cs="Calibri" w:eastAsia="Calibri" w:hAnsi="Calibri"/>
          <w:b w:val="false"/>
          <w:bCs w:val="false"/>
          <w:i w:val="false"/>
          <w:iCs w:val="false"/>
          <w:caps w:val="false"/>
          <w:color w:val="161616"/>
          <w:sz w:val="21"/>
          <w:szCs w:val="21"/>
        </w:rPr>
        <w:t xml:space="preserve">IBM brings deep institutional knowledge, healthcare payer expertise, and proven delivery at scale. Our platform assets are production-grade — not proofs-of-concept — and our governance model aligns teams to measurable business outcomes.</w:t>
      </w:r>
    </w:p>
    <w:p>
      <w:pPr>
        <w:spacing w:after="40" w:before="0"/>
      </w:pPr>
      <w:r>
        <w:t xml:space="preserve"/>
      </w:r>
    </w:p>
    <w:p>
      <w:pPr>
        <w:spacing w:after="40" w:before="160"/>
      </w:pPr>
      <w:r>
        <w:rPr>
          <w:rFonts w:ascii="Calibri" w:cs="Calibri" w:eastAsia="Calibri" w:hAnsi="Calibri"/>
          <w:b/>
          <w:bCs/>
          <w:i w:val="false"/>
          <w:iCs w:val="false"/>
          <w:caps w:val="false"/>
          <w:color w:val="0F62FE"/>
          <w:sz w:val="22"/>
          <w:szCs w:val="22"/>
        </w:rPr>
        <w:t xml:space="preserve">7.1  IBM Differentiators</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Deep Horizon institutional knowledge and proven delivery execution across the full application estate.</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Production-grade assets — AIOps, ICA, CareOps360, IBM Consulting Advantage — aligned to enterprise governance from Day 1.</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Healthcare payer domain expertise with compliance-first delivery covering claims, enrollment, and member services.</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Outcome-based accountability with committed SLAs tied to measurable business outcomes and transparent monthly reporting.</w:t>
      </w:r>
    </w:p>
    <w:p>
      <w:pPr>
        <w:pStyle w:val="ListParagraph"/>
        <w:numPr>
          <w:ilvl w:val="0"/>
          <w:numId w:val="1"/>
        </w:numPr>
        <w:spacing w:after="20" w:before="20"/>
      </w:pPr>
      <w:r>
        <w:t xml:space="preserve"/>
      </w:r>
      <w:r>
        <w:rPr>
          <w:rFonts w:ascii="Calibri" w:cs="Calibri" w:eastAsia="Calibri" w:hAnsi="Calibri"/>
          <w:b w:val="false"/>
          <w:bCs w:val="false"/>
          <w:i w:val="false"/>
          <w:iCs w:val="false"/>
          <w:caps w:val="false"/>
          <w:color w:val="161616"/>
          <w:sz w:val="21"/>
          <w:szCs w:val="21"/>
        </w:rPr>
        <w:t xml:space="preserve">Global delivery network with 24×7 coverage, local leadership engagement, and dedicated Horizon squads.</w:t>
      </w:r>
    </w:p>
    <w:p>
      <w:pPr>
        <w:spacing w:after="120" w:before="0"/>
      </w:pPr>
      <w:r>
        <w:t xml:space="preserve"/>
      </w:r>
    </w:p>
    <w:p>
      <w:pPr>
        <w:spacing w:after="40" w:before="160"/>
      </w:pPr>
      <w:r>
        <w:rPr>
          <w:rFonts w:ascii="Calibri" w:cs="Calibri" w:eastAsia="Calibri" w:hAnsi="Calibri"/>
          <w:b/>
          <w:bCs/>
          <w:i w:val="false"/>
          <w:iCs w:val="false"/>
          <w:caps w:val="false"/>
          <w:color w:val="0F62FE"/>
          <w:sz w:val="22"/>
          <w:szCs w:val="22"/>
        </w:rPr>
        <w:t xml:space="preserve">7.2  IBM at Scale — Behind This Proposal</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340"/>
            <w:tcBorders>
              <w:top w:val="single" w:color="0F62FE" w:sz="8"/>
              <w:left w:val="single" w:color="CCCCCC" w:sz="2"/>
              <w:bottom w:val="none"/>
              <w:right w:val="single" w:color="CCCCCC" w:sz="2"/>
            </w:tcBorders>
            <w:shd w:fill="EBF2FF" w:val="solid"/>
            <w:tcMar>
              <w:top w:type="dxa" w:w="60"/>
              <w:left w:type="dxa" w:w="100"/>
              <w:bottom w:type="dxa" w:w="60"/>
              <w:right w:type="dxa" w:w="100"/>
            </w:tcMar>
          </w:tcPr>
          <w:p>
            <w:pPr>
              <w:spacing w:after="40" w:before="120"/>
              <w:jc w:val="center"/>
            </w:pPr>
            <w:r>
              <w:rPr>
                <w:rFonts w:ascii="Calibri" w:cs="Calibri" w:eastAsia="Calibri" w:hAnsi="Calibri"/>
                <w:b/>
                <w:bCs/>
                <w:i w:val="false"/>
                <w:iCs w:val="false"/>
                <w:caps w:val="false"/>
                <w:color w:val="0F62FE"/>
                <w:sz w:val="36"/>
                <w:szCs w:val="36"/>
              </w:rPr>
              <w:t xml:space="preserve">20,000+</w:t>
            </w:r>
          </w:p>
          <w:p>
            <w:pPr>
              <w:spacing w:after="120" w:before="0"/>
              <w:jc w:val="center"/>
            </w:pPr>
            <w:r>
              <w:rPr>
                <w:rFonts w:ascii="Calibri" w:cs="Calibri" w:eastAsia="Calibri" w:hAnsi="Calibri"/>
                <w:b/>
                <w:bCs/>
                <w:i w:val="false"/>
                <w:iCs w:val="false"/>
                <w:caps w:val="false"/>
                <w:color w:val="001141"/>
                <w:sz w:val="17"/>
                <w:szCs w:val="17"/>
              </w:rPr>
              <w:t xml:space="preserve">AI &amp; Data Practitioners</w:t>
            </w:r>
          </w:p>
        </w:tc>
        <w:tc>
          <w:tcPr>
            <w:tcW w:type="dxa" w:w="2340"/>
            <w:tcBorders>
              <w:top w:val="single" w:color="0F62FE" w:sz="8"/>
              <w:left w:val="single" w:color="CCCCCC" w:sz="2"/>
              <w:bottom w:val="none"/>
              <w:right w:val="single" w:color="CCCCCC" w:sz="2"/>
            </w:tcBorders>
            <w:shd w:fill="EBF2FF" w:val="solid"/>
            <w:tcMar>
              <w:top w:type="dxa" w:w="60"/>
              <w:left w:type="dxa" w:w="100"/>
              <w:bottom w:type="dxa" w:w="60"/>
              <w:right w:type="dxa" w:w="100"/>
            </w:tcMar>
          </w:tcPr>
          <w:p>
            <w:pPr>
              <w:spacing w:after="40" w:before="120"/>
              <w:jc w:val="center"/>
            </w:pPr>
            <w:r>
              <w:rPr>
                <w:rFonts w:ascii="Calibri" w:cs="Calibri" w:eastAsia="Calibri" w:hAnsi="Calibri"/>
                <w:b/>
                <w:bCs/>
                <w:i w:val="false"/>
                <w:iCs w:val="false"/>
                <w:caps w:val="false"/>
                <w:color w:val="0F62FE"/>
                <w:sz w:val="36"/>
                <w:szCs w:val="36"/>
              </w:rPr>
              <w:t xml:space="preserve">81,000+</w:t>
            </w:r>
          </w:p>
          <w:p>
            <w:pPr>
              <w:spacing w:after="120" w:before="0"/>
              <w:jc w:val="center"/>
            </w:pPr>
            <w:r>
              <w:rPr>
                <w:rFonts w:ascii="Calibri" w:cs="Calibri" w:eastAsia="Calibri" w:hAnsi="Calibri"/>
                <w:b/>
                <w:bCs/>
                <w:i w:val="false"/>
                <w:iCs w:val="false"/>
                <w:caps w:val="false"/>
                <w:color w:val="001141"/>
                <w:sz w:val="17"/>
                <w:szCs w:val="17"/>
              </w:rPr>
              <w:t xml:space="preserve">Cloud &amp; Architecture Experts</w:t>
            </w:r>
          </w:p>
        </w:tc>
        <w:tc>
          <w:tcPr>
            <w:tcW w:type="dxa" w:w="2340"/>
            <w:tcBorders>
              <w:top w:val="single" w:color="0F62FE" w:sz="8"/>
              <w:left w:val="single" w:color="CCCCCC" w:sz="2"/>
              <w:bottom w:val="none"/>
              <w:right w:val="single" w:color="CCCCCC" w:sz="2"/>
            </w:tcBorders>
            <w:shd w:fill="EBF2FF" w:val="solid"/>
            <w:tcMar>
              <w:top w:type="dxa" w:w="60"/>
              <w:left w:type="dxa" w:w="100"/>
              <w:bottom w:type="dxa" w:w="60"/>
              <w:right w:type="dxa" w:w="100"/>
            </w:tcMar>
          </w:tcPr>
          <w:p>
            <w:pPr>
              <w:spacing w:after="40" w:before="120"/>
              <w:jc w:val="center"/>
            </w:pPr>
            <w:r>
              <w:rPr>
                <w:rFonts w:ascii="Calibri" w:cs="Calibri" w:eastAsia="Calibri" w:hAnsi="Calibri"/>
                <w:b/>
                <w:bCs/>
                <w:i w:val="false"/>
                <w:iCs w:val="false"/>
                <w:caps w:val="false"/>
                <w:color w:val="0F62FE"/>
                <w:sz w:val="36"/>
                <w:szCs w:val="36"/>
              </w:rPr>
              <w:t xml:space="preserve">40,000+</w:t>
            </w:r>
          </w:p>
          <w:p>
            <w:pPr>
              <w:spacing w:after="120" w:before="0"/>
              <w:jc w:val="center"/>
            </w:pPr>
            <w:r>
              <w:rPr>
                <w:rFonts w:ascii="Calibri" w:cs="Calibri" w:eastAsia="Calibri" w:hAnsi="Calibri"/>
                <w:b/>
                <w:bCs/>
                <w:i w:val="false"/>
                <w:iCs w:val="false"/>
                <w:caps w:val="false"/>
                <w:color w:val="001141"/>
                <w:sz w:val="17"/>
                <w:szCs w:val="17"/>
              </w:rPr>
              <w:t xml:space="preserve">AI/Analytics Engagements Delivered</w:t>
            </w:r>
          </w:p>
        </w:tc>
        <w:tc>
          <w:tcPr>
            <w:tcW w:type="dxa" w:w="2340"/>
            <w:tcBorders>
              <w:top w:val="single" w:color="0F62FE" w:sz="8"/>
              <w:left w:val="single" w:color="CCCCCC" w:sz="2"/>
              <w:bottom w:val="none"/>
              <w:right w:val="single" w:color="CCCCCC" w:sz="2"/>
            </w:tcBorders>
            <w:shd w:fill="EBF2FF" w:val="solid"/>
            <w:tcMar>
              <w:top w:type="dxa" w:w="60"/>
              <w:left w:type="dxa" w:w="100"/>
              <w:bottom w:type="dxa" w:w="60"/>
              <w:right w:type="dxa" w:w="100"/>
            </w:tcMar>
          </w:tcPr>
          <w:p>
            <w:pPr>
              <w:spacing w:after="40" w:before="120"/>
              <w:jc w:val="center"/>
            </w:pPr>
            <w:r>
              <w:rPr>
                <w:rFonts w:ascii="Calibri" w:cs="Calibri" w:eastAsia="Calibri" w:hAnsi="Calibri"/>
                <w:b/>
                <w:bCs/>
                <w:i w:val="false"/>
                <w:iCs w:val="false"/>
                <w:caps w:val="false"/>
                <w:color w:val="0F62FE"/>
                <w:sz w:val="36"/>
                <w:szCs w:val="36"/>
              </w:rPr>
              <w:t xml:space="preserve">15,000+</w:t>
            </w:r>
          </w:p>
          <w:p>
            <w:pPr>
              <w:spacing w:after="120" w:before="0"/>
              <w:jc w:val="center"/>
            </w:pPr>
            <w:r>
              <w:rPr>
                <w:rFonts w:ascii="Calibri" w:cs="Calibri" w:eastAsia="Calibri" w:hAnsi="Calibri"/>
                <w:b/>
                <w:bCs/>
                <w:i w:val="false"/>
                <w:iCs w:val="false"/>
                <w:caps w:val="false"/>
                <w:color w:val="001141"/>
                <w:sz w:val="17"/>
                <w:szCs w:val="17"/>
              </w:rPr>
              <w:t xml:space="preserve">Delivery Resources across 40 Centres</w:t>
            </w:r>
          </w:p>
        </w:tc>
      </w:tr>
    </w:tbl>
    <w:p>
      <w:pPr>
        <w:spacing w:after="200" w:before="0"/>
      </w:pPr>
      <w:r>
        <w:t xml:space="preserve"/>
      </w:r>
    </w:p>
    <w:p>
      <w:pPr>
        <w:pBdr>
          <w:bottom w:val="single" w:color="0F62FE" w:sz="12" w:space="4"/>
        </w:pBdr>
        <w:spacing w:after="120" w:before="120"/>
      </w:pPr>
    </w:p>
    <w:p>
      <w:pPr>
        <w:spacing w:after="80" w:before="0"/>
      </w:pPr>
      <w:r>
        <w:t xml:space="preserve"/>
      </w:r>
    </w:p>
    <w:p>
      <w:pPr>
        <w:spacing w:after="80" w:before="80"/>
        <w:ind w:left="431" w:right="431"/>
      </w:pPr>
      <w:r>
        <w:rPr>
          <w:rFonts w:ascii="Calibri" w:cs="Calibri" w:eastAsia="Calibri" w:hAnsi="Calibri"/>
          <w:b w:val="false"/>
          <w:bCs w:val="false"/>
          <w:i/>
          <w:iCs/>
          <w:caps w:val="false"/>
          <w:color w:val="161616"/>
          <w:sz w:val="21"/>
          <w:szCs w:val="21"/>
        </w:rPr>
        <w:t xml:space="preserve">“IBM’s commitment to Horizon is not measured in tickets resolved or servers managed — it is measured in </w:t>
      </w:r>
      <w:r>
        <w:rPr>
          <w:rFonts w:ascii="Calibri" w:cs="Calibri" w:eastAsia="Calibri" w:hAnsi="Calibri"/>
          <w:b/>
          <w:bCs/>
          <w:i/>
          <w:iCs/>
          <w:caps w:val="false"/>
          <w:color w:val="001141"/>
          <w:sz w:val="21"/>
          <w:szCs w:val="21"/>
        </w:rPr>
        <w:t xml:space="preserve">business outcomes delivered</w:t>
      </w:r>
      <w:r>
        <w:rPr>
          <w:rFonts w:ascii="Calibri" w:cs="Calibri" w:eastAsia="Calibri" w:hAnsi="Calibri"/>
          <w:b w:val="false"/>
          <w:bCs w:val="false"/>
          <w:i/>
          <w:iCs/>
          <w:caps w:val="false"/>
          <w:color w:val="161616"/>
          <w:sz w:val="21"/>
          <w:szCs w:val="21"/>
        </w:rPr>
        <w:t xml:space="preserve">. Every initiative in this proposal is connected to a measurable result — and every result is owned.”</w:t>
      </w:r>
    </w:p>
    <w:p>
      <w:pPr>
        <w:spacing w:after="240" w:before="0"/>
        <w:jc w:val="right"/>
      </w:pPr>
      <w:r>
        <w:rPr>
          <w:rFonts w:ascii="Calibri" w:cs="Calibri" w:eastAsia="Calibri" w:hAnsi="Calibri"/>
          <w:b/>
          <w:bCs/>
          <w:i w:val="false"/>
          <w:iCs w:val="false"/>
          <w:caps w:val="false"/>
          <w:color w:val="0F62FE"/>
          <w:sz w:val="19"/>
          <w:szCs w:val="19"/>
        </w:rPr>
        <w:t xml:space="preserve">— IBM Consulting, Healthcare &amp; Payer Delivery</w:t>
      </w:r>
    </w:p>
    <w:p>
      <w:pPr>
        <w:pBdr>
          <w:bottom w:val="single" w:color="CCCCCC" w:sz="4" w:space="4"/>
        </w:pBdr>
        <w:spacing w:after="80" w:before="80"/>
      </w:pPr>
    </w:p>
    <w:p>
      <w:pPr>
        <w:spacing w:after="0" w:before="60"/>
        <w:jc w:val="center"/>
      </w:pPr>
      <w:r>
        <w:rPr>
          <w:rFonts w:ascii="Calibri" w:cs="Calibri" w:eastAsia="Calibri" w:hAnsi="Calibri"/>
          <w:b w:val="false"/>
          <w:bCs w:val="false"/>
          <w:i w:val="false"/>
          <w:iCs w:val="false"/>
          <w:caps w:val="false"/>
          <w:color w:val="6F6F6F"/>
          <w:sz w:val="16"/>
          <w:szCs w:val="16"/>
        </w:rPr>
        <w:t xml:space="preserve">© 2026 IBM Corporation. All rights reserved. Confidential — prepared exclusively for Horizon Healthcare Services.  Ref: IBM-HZN-AMS-RFP-2026-CAS</w:t>
      </w:r>
    </w:p>
    <w:sectPr>
      <w:headerReference w:type="default" r:id="rId7"/>
      <w:footerReference w:type="default" r:id="rId8"/>
      <w:pgSz w:w="11906" w:h="16838" w:orient="portrait"/>
      <w:pgMar w:top="1440" w:right="1584" w:bottom="1296"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right"/>
    </w:pPr>
    <w:r>
      <w:rPr>
        <w:rFonts w:ascii="Calibri" w:cs="Calibri" w:eastAsia="Calibri" w:hAnsi="Calibri"/>
        <w:b w:val="false"/>
        <w:bCs w:val="false"/>
        <w:i w:val="false"/>
        <w:iCs w:val="false"/>
        <w:caps w:val="false"/>
        <w:color w:val="6F6F6F"/>
        <w:sz w:val="16"/>
        <w:szCs w:val="16"/>
      </w:rPr>
      <w:t xml:space="preserve">© 2026 IBM Corporation   Page </w:t>
    </w:r>
    <w:r>
      <w:rPr>
        <w:rFonts w:ascii="Calibri" w:cs="Calibri" w:eastAsia="Calibri" w:hAnsi="Calibri"/>
        <w:color w:val="6F6F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b w:val="false"/>
        <w:bCs w:val="false"/>
        <w:i w:val="false"/>
        <w:iCs w:val="false"/>
        <w:caps w:val="false"/>
        <w:color w:val="6F6F6F"/>
        <w:sz w:val="16"/>
        <w:szCs w:val="16"/>
      </w:rPr>
      <w:t xml:space="preserve">IBM × Horizon BCBS — AMS Transformation Executive Summary</w:t>
    </w:r>
    <w:r>
      <w:rPr>
        <w:rFonts w:ascii="Calibri" w:cs="Calibri" w:eastAsia="Calibri" w:hAnsi="Calibri"/>
        <w:b/>
        <w:bCs/>
        <w:i w:val="false"/>
        <w:iCs w:val="false"/>
        <w:caps w:val="false"/>
        <w:color w:val="0F62FE"/>
        <w:sz w:val="16"/>
        <w:szCs w:val="16"/>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AMS Transformation Executive Summary</dc:title>
  <dc:creator>IBM Consulting</dc:creator>
  <dc:description>Confidential — April 2026</dc:description>
  <cp:lastModifiedBy>Un-named</cp:lastModifiedBy>
  <cp:revision>1</cp:revision>
  <dcterms:created xsi:type="dcterms:W3CDTF">2026-04-16T03:37:21.761Z</dcterms:created>
  <dcterms:modified xsi:type="dcterms:W3CDTF">2026-04-16T03:37:21.762Z</dcterms:modified>
</cp:coreProperties>
</file>

<file path=docProps/custom.xml><?xml version="1.0" encoding="utf-8"?>
<Properties xmlns="http://schemas.openxmlformats.org/officeDocument/2006/custom-properties" xmlns:vt="http://schemas.openxmlformats.org/officeDocument/2006/docPropsVTypes"/>
</file>