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01141" w:val="solid"/>
        <w:spacing w:after="280" w:befor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FFFFFF"/>
          <w:sz w:val="17"/>
          <w:szCs w:val="17"/>
        </w:rPr>
        <w:t xml:space="preserve">IBM CONSULTING   |   HEALTHCARE &amp; PAYER DELIVERY</w:t>
      </w:r>
    </w:p>
    <w:p>
      <w:pPr>
        <w:shd w:fill="0F62FE" w:val="solid"/>
        <w:spacing w:after="40" w:before="0"/>
      </w:pPr>
    </w:p>
    <w:p>
      <w:pPr>
        <w:spacing w:after="6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p>
      <w:pPr>
        <w:spacing w:after="120" w:before="0"/>
        <w:ind w:right="1584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0F62FE"/>
          <w:sz w:val="16"/>
          <w:szCs w:val="16"/>
        </w:rPr>
        <w:t xml:space="preserve">CONFIDENTIAL  |  APRIL 2026</w:t>
      </w:r>
    </w:p>
    <w:p>
      <w:pPr>
        <w:spacing w:after="8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0F62FE"/>
          <w:sz w:val="20"/>
          <w:szCs w:val="20"/>
        </w:rPr>
        <w:t xml:space="preserve">IBM × HORIZON BLUE CROSS BLUE SHIELD OF NEW JERSEY</w:t>
      </w:r>
    </w:p>
    <w:p>
      <w:pPr>
        <w:spacing w:after="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64"/>
          <w:szCs w:val="64"/>
        </w:rPr>
        <w:t xml:space="preserve">Application Delivery,</w:t>
      </w:r>
    </w:p>
    <w:p>
      <w:pPr>
        <w:spacing w:after="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64"/>
          <w:szCs w:val="64"/>
        </w:rPr>
        <w:t xml:space="preserve">Quality &amp; Operations</w:t>
      </w:r>
    </w:p>
    <w:p>
      <w:pPr>
        <w:spacing w:after="8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64"/>
          <w:szCs w:val="64"/>
        </w:rPr>
        <w:t xml:space="preserve">Transformation</w:t>
      </w:r>
    </w:p>
    <w:p>
      <w:pPr>
        <w:spacing w:after="360" w:before="0"/>
        <w:ind w:left="1584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525252"/>
          <w:sz w:val="24"/>
          <w:szCs w:val="24"/>
        </w:rPr>
        <w:t xml:space="preserve">AI-First  ·  Business-Led  ·  Zero-Touch  ·  Outcome-Driven</w:t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380"/>
            <w:tcBorders>
              <w:top w:val="single" w:color="0F62FE" w:sz="8"/>
              <w:left w:val="single" w:color="E0E0E0" w:sz="2"/>
              <w:bottom w:val="single" w:color="E0E0E0" w:sz="2"/>
              <w:right w:val="single" w:color="E0E0E0" w:sz="2"/>
            </w:tcBorders>
            <w:shd w:fill="EBF2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48"/>
                <w:szCs w:val="48"/>
              </w:rPr>
              <w:t xml:space="preserve">40–50%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Structural Cost Takeout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25252"/>
                <w:sz w:val="16"/>
                <w:szCs w:val="16"/>
              </w:rPr>
              <w:t xml:space="preserve">operational run-rate reduction</w:t>
            </w:r>
          </w:p>
        </w:tc>
        <w:tc>
          <w:tcPr>
            <w:tcW w:type="dxa" w:w="2380"/>
            <w:tcBorders>
              <w:top w:val="single" w:color="0F62FE" w:sz="8"/>
              <w:left w:val="single" w:color="E0E0E0" w:sz="2"/>
              <w:bottom w:val="single" w:color="E0E0E0" w:sz="2"/>
              <w:right w:val="single" w:color="E0E0E0" w:sz="2"/>
            </w:tcBorders>
            <w:shd w:fill="EBF2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48"/>
                <w:szCs w:val="48"/>
              </w:rPr>
              <w:t xml:space="preserve">25–40%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Faster Time to Market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25252"/>
                <w:sz w:val="16"/>
                <w:szCs w:val="16"/>
              </w:rPr>
              <w:t xml:space="preserve">across development &amp; change</w:t>
            </w:r>
          </w:p>
        </w:tc>
        <w:tc>
          <w:tcPr>
            <w:tcW w:type="dxa" w:w="2380"/>
            <w:tcBorders>
              <w:top w:val="single" w:color="0F62FE" w:sz="8"/>
              <w:left w:val="single" w:color="E0E0E0" w:sz="2"/>
              <w:bottom w:val="single" w:color="E0E0E0" w:sz="2"/>
              <w:right w:val="single" w:color="E0E0E0" w:sz="2"/>
            </w:tcBorders>
            <w:shd w:fill="EBF2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48"/>
                <w:szCs w:val="48"/>
              </w:rPr>
              <w:t xml:space="preserve">&gt;74%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Incidents Auto-Resolved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25252"/>
                <w:sz w:val="16"/>
                <w:szCs w:val="16"/>
              </w:rPr>
              <w:t xml:space="preserve">P3/P4 zero-touch target</w:t>
            </w:r>
          </w:p>
        </w:tc>
        <w:tc>
          <w:tcPr>
            <w:tcW w:type="dxa" w:w="2380"/>
            <w:tcBorders>
              <w:top w:val="single" w:color="0F62FE" w:sz="8"/>
              <w:left w:val="single" w:color="E0E0E0" w:sz="2"/>
              <w:bottom w:val="single" w:color="E0E0E0" w:sz="2"/>
              <w:right w:val="single" w:color="E0E0E0" w:sz="2"/>
            </w:tcBorders>
            <w:shd w:fill="EBF2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48"/>
                <w:szCs w:val="48"/>
              </w:rPr>
              <w:t xml:space="preserve">80%+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Test Automation Coverage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25252"/>
                <w:sz w:val="16"/>
                <w:szCs w:val="16"/>
              </w:rPr>
              <w:t xml:space="preserve">from ~25% today</w:t>
            </w:r>
          </w:p>
        </w:tc>
      </w:tr>
    </w:tbl>
    <w:p>
      <w:pPr>
        <w:spacing w:after="2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p>
      <w:pPr>
        <w:spacing w:after="80" w:before="80"/>
        <w:ind w:left="1584" w:right="1584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001141"/>
          <w:sz w:val="22"/>
          <w:szCs w:val="22"/>
        </w:rPr>
        <w:t xml:space="preserve">“This is not an outsourcing contract. This is a transformation covenant — where IBM’s success is defined entirely by Horizon’s outcomes.”</w:t>
      </w:r>
    </w:p>
    <w:p>
      <w:pPr>
        <w:spacing w:after="320" w:before="0"/>
        <w:ind w:right="1584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8"/>
          <w:szCs w:val="18"/>
        </w:rPr>
        <w:t xml:space="preserve">— IBM Consulting, Healthcare &amp; Payer Delivery</w:t>
      </w:r>
    </w:p>
    <w:p>
      <w:pPr>
        <w:pBdr>
          <w:top w:val="single" w:color="E0E0E0" w:sz="4" w:space="0"/>
        </w:pBdr>
        <w:spacing w:after="0" w:before="160"/>
        <w:ind w:left="1584" w:right="1584"/>
      </w:pPr>
    </w:p>
    <w:p>
      <w:pPr>
        <w:spacing w:after="100" w:before="10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17"/>
          <w:szCs w:val="17"/>
        </w:rPr>
        <w:t xml:space="preserve">Prepared for: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25252"/>
          <w:sz w:val="17"/>
          <w:szCs w:val="17"/>
        </w:rPr>
        <w:t xml:space="preserve">Horizon Healthcare Services  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17"/>
          <w:szCs w:val="17"/>
        </w:rPr>
        <w:t xml:space="preserve">Submitted by: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25252"/>
          <w:sz w:val="17"/>
          <w:szCs w:val="17"/>
        </w:rPr>
        <w:t xml:space="preserve">IBM Consulting — Healthcare &amp; Payer  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525252"/>
          <w:sz w:val="17"/>
          <w:szCs w:val="17"/>
        </w:rPr>
        <w:t xml:space="preserve">April 2026</w:t>
      </w:r>
    </w:p>
    <w:p>
      <w:pPr>
        <w:shd w:fill="001141" w:val="solid"/>
        <w:spacing w:after="100" w:before="10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FFFFFF"/>
          <w:sz w:val="15"/>
          <w:szCs w:val="15"/>
        </w:rPr>
        <w:t xml:space="preserve">© 2026 IBM Corporation. All rights reserved.  Powered by CareOps360 · IBM AIOps · IBM Consulting Advantage</w:t>
      </w:r>
    </w:p>
    <w:p>
      <w:pPr>
        <w:spacing w:after="0" w:before="0"/>
      </w:pPr>
      <w:r>
        <w:br w:type="page"/>
      </w:r>
    </w:p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Bdr>
          <w:top w:val="single" w:color="0F62FE" w:sz="14" w:space="6"/>
        </w:pBdr>
        <w:spacing w:after="20" w:before="240"/>
      </w:pPr>
    </w:p>
    <w:p>
      <w:pPr>
        <w:spacing w:after="20" w:before="2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6"/>
          <w:szCs w:val="16"/>
        </w:rPr>
        <w:t xml:space="preserve">1.0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6"/>
          <w:szCs w:val="26"/>
        </w:rPr>
        <w:t xml:space="preserve">THE STRATEGIC OPPORTUNITY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8D8D8D"/>
          <w:sz w:val="19"/>
          <w:szCs w:val="19"/>
        </w:rPr>
        <w:t xml:space="preserve">   Why this moment demands bold action</w:t>
      </w:r>
    </w:p>
    <w:p>
      <w:pPr>
        <w:pBdr>
          <w:left w:val="single" w:color="0F62FE" w:sz="18" w:space="8"/>
        </w:pBdr>
        <w:shd w:fill="EBF2FF" w:val="solid"/>
        <w:spacing w:after="0" w:before="100"/>
        <w:ind w:left="200" w:right="160"/>
      </w:pPr>
    </w:p>
    <w:p>
      <w:pPr>
        <w:pBdr>
          <w:left w:val="single" w:color="0F62FE" w:sz="18" w:space="8"/>
        </w:pBdr>
        <w:shd w:fill="EBF2FF" w:val="solid"/>
        <w:spacing w:after="40" w:before="60"/>
        <w:ind w:left="200" w:right="16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001141"/>
          <w:sz w:val="21"/>
          <w:szCs w:val="21"/>
        </w:rPr>
        <w:t xml:space="preserve">“Horizon carries 500+ applications, rising operational cost, and the growing expectations of 3.7 million members. The question is not whether to transform — it is who to trust with that transformation.”</w:t>
      </w:r>
    </w:p>
    <w:p>
      <w:pPr>
        <w:pBdr>
          <w:left w:val="single" w:color="0F62FE" w:sz="18" w:space="8"/>
        </w:pBdr>
        <w:shd w:fill="EBF2FF" w:val="solid"/>
        <w:spacing w:after="100" w:before="0"/>
        <w:ind w:left="200" w:right="16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8"/>
          <w:szCs w:val="18"/>
        </w:rPr>
        <w:t xml:space="preserve">— IBM Consulting — AMS Transformation Brief, April 2026</w:t>
      </w:r>
    </w:p>
    <w:p>
      <w:pPr>
        <w:pBdr>
          <w:left w:val="single" w:color="0F62FE" w:sz="18" w:space="8"/>
        </w:pBdr>
        <w:shd w:fill="EBF2FF" w:val="solid"/>
        <w:spacing w:after="100" w:before="0"/>
        <w:ind w:left="200" w:right="160"/>
      </w:pP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righ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Where Horizon Stands Today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>Horizon's application estate spans enrollment, claims, member services, provider operations, and data — managed across delivery teams that operate in silos. The result: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>Speed to market is constrained by manual processes, batch integration, and late-stage testing that catches defects only after they cost money.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>Operational teams spend more time firefighting incidents than building capability. Every recurring problem that reappears is compounding cost.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>Technology debt is accumulating — security exposure grows, compliance overhead rises, and modernization gets deferred.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>Quality is inconsistent. Test automation sits at ~25%, meaning 75% of testing is manual, slow, and expensive.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</w:tblGrid>
            <w:tr>
              <w:tc>
                <w:tcPr>
                  <w:tcW w:type="dxa" w:w="2808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Business Challenge</w:t>
                  </w:r>
                </w:p>
              </w:tc>
              <w:tc>
                <w:tcPr>
                  <w:tcW w:type="dxa" w:w="1685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Cost of Inaction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Manual incident triage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9"/>
                      <w:szCs w:val="19"/>
                    </w:rPr>
                    <w:t xml:space="preserve">Compounding MTTR costs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Low test automation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9"/>
                      <w:szCs w:val="19"/>
                    </w:rPr>
                    <w:t xml:space="preserve">Defects reach production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Siloed delivery teams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9"/>
                      <w:szCs w:val="19"/>
                    </w:rPr>
                    <w:t xml:space="preserve">Missed SLAs, slow change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Deferred modernization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9"/>
                      <w:szCs w:val="19"/>
                    </w:rPr>
                    <w:t xml:space="preserve">Growing security exposure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Reactive operations model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9"/>
                      <w:szCs w:val="19"/>
                    </w:rPr>
                    <w:t xml:space="preserve">Unpredictable availability</w:t>
                  </w:r>
                </w:p>
              </w:tc>
            </w:tr>
          </w:tbl>
          <w:p/>
        </w:tc>
        <w:tc>
          <w:tcPr>
            <w:tcW w:type="dxa" w:w="37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lef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The IBM Transformation Offer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>IBM proposes a single, unified partnership that covers Application Development, Quality Engineering, and Operations — with AI as the operating engine, not a feature added later.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>Faster development cycles through AI-assisted coding, automated testing, and risk-scored deployments.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>Quality embedded at every stage — from the moment a developer commits code to the moment it reaches a member.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>Operations that heal themselves — where most incidents are resolved before an engineer is notified.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>Platform modernization embedded in steady-state delivery — not a separate project with a separate budget.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>Real-time executive visibility into outcomes — cost, quality, speed, and availability — not activity reports.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</w:tblGrid>
            <w:tr>
              <w:tc>
                <w:tcPr>
                  <w:tcW w:type="dxa" w:w="2808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IBM Solution</w:t>
                  </w:r>
                </w:p>
              </w:tc>
              <w:tc>
                <w:tcPr>
                  <w:tcW w:type="dxa" w:w="1685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Business Outcome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AI-First Development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25–40% faster delivery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GenAI Quality Engine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80%+ test automation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Agentic Operations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&gt;74% auto-resolution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Zero-Touch Delivery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−55% MTTR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Outcome Governance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Real-time ROI tracking</w:t>
                  </w:r>
                </w:p>
              </w:tc>
            </w:tr>
          </w:tbl>
          <w:p/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4" w:space="6"/>
        </w:pBdr>
        <w:spacing w:after="20" w:before="240"/>
      </w:pPr>
    </w:p>
    <w:p>
      <w:pPr>
        <w:spacing w:after="20" w:before="2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6"/>
          <w:szCs w:val="16"/>
        </w:rPr>
        <w:t xml:space="preserve">2.0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6"/>
          <w:szCs w:val="26"/>
        </w:rPr>
        <w:t xml:space="preserve">THE IBM OPERATING MODEL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8D8D8D"/>
          <w:sz w:val="19"/>
          <w:szCs w:val="19"/>
        </w:rPr>
        <w:t xml:space="preserve">   One team. Three disciplines. One outcome owner.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>IBM's model unifies Application Development, Quality Engineering, and Operations into product-aligned teams — each owning a business domain end-to-end. AI drives the engine beneath them, eliminating handoffs and making automation the default, not the exception.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gridSpan w:val="5"/>
            <w:tcBorders>
              <w:top w:val="single" w:color="0F62FE" w:sz="8"/>
              <w:left w:val="single" w:color="E0E0E0" w:sz="2"/>
              <w:bottom w:val="single" w:color="0F62FE" w:sz="4"/>
              <w:right w:val="single" w:color="E0E0E0" w:sz="2"/>
            </w:tcBorders>
            <w:shd w:fill="D0E2FF" w:val="solid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001141"/>
                <w:sz w:val="17"/>
                <w:szCs w:val="17"/>
              </w:rPr>
              <w:t xml:space="preserve">BUSINESS OUTCOMES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62FE"/>
                <w:sz w:val="17"/>
                <w:szCs w:val="17"/>
              </w:rPr>
              <w:t xml:space="preserve">Claims  ·  Enrollment  ·  Member Services  ·  Provider Operations  ·  Data Products</w:t>
            </w:r>
          </w:p>
        </w:tc>
      </w:tr>
      <w:tr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2FE" w:val="solid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Application
Development</w:t>
            </w:r>
          </w:p>
        </w:tc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07D79" w:val="solid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Quality
Engineering</w:t>
            </w:r>
          </w:p>
        </w:tc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043CE" w:val="solid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Application
Management</w:t>
            </w:r>
          </w:p>
        </w:tc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6929C4" w:val="solid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Platform &amp;
Integration</w:t>
            </w:r>
          </w:p>
        </w:tc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05D5D" w:val="solid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Data &amp;
Analytics</w:t>
            </w:r>
          </w:p>
        </w:tc>
      </w:tr>
      <w:tr>
        <w:tc>
          <w:tcPr>
            <w:gridSpan w:val="5"/>
            <w:tcBorders>
              <w:top w:val="single" w:color="0F62FE" w:sz="4"/>
              <w:left w:val="single" w:color="E0E0E0" w:sz="2"/>
              <w:bottom w:val="single" w:color="0F62FE" w:sz="4"/>
              <w:right w:val="single" w:color="E0E0E0" w:sz="2"/>
            </w:tcBorders>
            <w:shd w:fill="EBF2FF" w:val="solid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IBM AI ENGINE  —  AIOps  ·  Agentic Intelligence  ·  GenAI Quality  ·  ICA  ·  CareOps360</w:t>
            </w:r>
          </w:p>
        </w:tc>
      </w:tr>
      <w:tr>
        <w:tc>
          <w:tcPr>
            <w:gridSpan w:val="5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F4F4F4" w:val="solid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7"/>
                <w:szCs w:val="17"/>
              </w:rPr>
              <w:t xml:space="preserve">PLATFORM FOUNDATION  —  Hybrid Cloud  ·  Integration Hub  ·  Mainframe Modernization  ·  Data Platforms  ·  Security &amp; Compliance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righ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Three Integrated Disciplines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1"/>
                <w:szCs w:val="21"/>
              </w:rPr>
              <w:t xml:space="preserve">Application Development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Feature delivery, cloud-native development, and modernization — driven by AI-assisted engineering, automated pipelines, and risk-scored releases. Developers build faster because the machine handles the routine.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1"/>
                <w:szCs w:val="21"/>
              </w:rPr>
              <w:t xml:space="preserve">Quality Engineering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Testing is not a phase. It is a continuous signal built into every commit, every sprint, every deployment. GenAI generates tests. AI predicts defects. Coverage reaches 80%+ within 12 months.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1"/>
                <w:szCs w:val="21"/>
              </w:rPr>
              <w:t xml:space="preserve">Application Management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Operations shift from reactive firefighting to predictive, self-healing management. AI agents handle most incidents without human intervention. SRE teams focus on resilience, not resolution.</w:t>
            </w:r>
          </w:p>
        </w:tc>
        <w:tc>
          <w:tcPr>
            <w:tcW w:type="dxa" w:w="37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lef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What Changes for Horizon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</w:tblGrid>
            <w:tr>
              <w:tc>
                <w:tcPr>
                  <w:tcW w:type="dxa" w:w="2246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Today</w:t>
                  </w:r>
                </w:p>
              </w:tc>
              <w:tc>
                <w:tcPr>
                  <w:tcW w:type="dxa" w:w="2246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With IBM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Tower-based siloes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Unified product pods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Reactive incident response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Predictive self-healing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Late-stage testing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Shift-left quality gates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Manual deployments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AI risk-scored pipelines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Activity-metric reporting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Business outcome dashboards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Innovation as a project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Innovation in every sprint</w:t>
                  </w:r>
                </w:p>
              </w:tc>
            </w:tr>
          </w:tbl>
          <w:p/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4" w:space="6"/>
        </w:pBdr>
        <w:spacing w:after="20" w:before="240"/>
      </w:pPr>
    </w:p>
    <w:p>
      <w:pPr>
        <w:spacing w:after="20" w:before="2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6"/>
          <w:szCs w:val="16"/>
        </w:rPr>
        <w:t xml:space="preserve">3.0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6"/>
          <w:szCs w:val="26"/>
        </w:rPr>
        <w:t xml:space="preserve">AI-FIRST APPLICATION DEVELOPMENT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8D8D8D"/>
          <w:sz w:val="19"/>
          <w:szCs w:val="19"/>
        </w:rPr>
        <w:t xml:space="preserve">   Build faster. Ship safer. Modernize continuously.</w:t>
      </w:r>
    </w:p>
    <w:p>
      <w:pPr>
        <w:pBdr>
          <w:left w:val="single" w:color="0F62FE" w:sz="18" w:space="8"/>
        </w:pBdr>
        <w:shd w:fill="EBF2FF" w:val="solid"/>
        <w:spacing w:after="0" w:before="100"/>
        <w:ind w:left="200" w:right="160"/>
      </w:pPr>
    </w:p>
    <w:p>
      <w:pPr>
        <w:pBdr>
          <w:left w:val="single" w:color="0F62FE" w:sz="18" w:space="8"/>
        </w:pBdr>
        <w:shd w:fill="EBF2FF" w:val="solid"/>
        <w:spacing w:after="40" w:before="60"/>
        <w:ind w:left="200" w:right="16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001141"/>
          <w:sz w:val="21"/>
          <w:szCs w:val="21"/>
        </w:rPr>
        <w:t xml:space="preserve">“Every developer on the IBM team is augmented by AI — from the first line of code to the final deployment gate. The result is a delivery team that operates at a pace no traditional model can match.”</w:t>
      </w:r>
    </w:p>
    <w:p>
      <w:pPr>
        <w:pBdr>
          <w:left w:val="single" w:color="0F62FE" w:sz="18" w:space="8"/>
        </w:pBdr>
        <w:shd w:fill="EBF2FF" w:val="solid"/>
        <w:spacing w:after="100" w:before="0"/>
        <w:ind w:left="200" w:right="16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8"/>
          <w:szCs w:val="18"/>
        </w:rPr>
        <w:t xml:space="preserve">— IBM Consulting Advantage — Developer AI Platform</w:t>
      </w:r>
    </w:p>
    <w:p>
      <w:pPr>
        <w:pBdr>
          <w:left w:val="single" w:color="0F62FE" w:sz="18" w:space="8"/>
        </w:pBdr>
        <w:shd w:fill="EBF2FF" w:val="solid"/>
        <w:spacing w:after="100" w:before="0"/>
        <w:ind w:left="200" w:right="160"/>
      </w:pP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righ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How IBM Builds Faster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1"/>
                <w:szCs w:val="21"/>
              </w:rPr>
              <w:t xml:space="preserve">AI-Assisted Development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Developers work alongside AI coding assistants that generate boilerplate, suggest optimisations, and flag risk patterns in real time — cutting delivery effort by 25–35%.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1"/>
                <w:szCs w:val="21"/>
              </w:rPr>
              <w:t xml:space="preserve">Automated Release Gates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Every change passes through an AI-scored release readiness gate: security scan, performance benchmark, coverage check, and risk scoring — all automated.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1"/>
                <w:szCs w:val="21"/>
              </w:rPr>
              <w:t xml:space="preserve">Modernization-in-Stride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Modernization is not a separate programme. Every sprint includes a modernisation action: an API-wrap, a refactor, a library upgrade — compounding progress continuously.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1"/>
                <w:szCs w:val="21"/>
              </w:rPr>
              <w:t xml:space="preserve">Domain-Aligned Dev Pods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Development squads are aligned to Horizon's business domains — Claims, Enrollment, Member, Provider — so context is not lost in handoffs.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</w:tblGrid>
            <w:tr>
              <w:tc>
                <w:tcPr>
                  <w:tcW w:type="dxa" w:w="2621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Development Metric</w:t>
                  </w:r>
                </w:p>
              </w:tc>
              <w:tc>
                <w:tcPr>
                  <w:tcW w:type="dxa" w:w="1872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Target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Time-to-market</w:t>
                  </w:r>
                </w:p>
              </w:tc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25–40% faster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Deployment frequency</w:t>
                  </w:r>
                </w:p>
              </w:tc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2× current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Change failure rate</w:t>
                  </w:r>
                </w:p>
              </w:tc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−60%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Rollback time</w:t>
                  </w:r>
                </w:p>
              </w:tc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&lt;15 minutes</w:t>
                  </w:r>
                </w:p>
              </w:tc>
            </w:tr>
          </w:tbl>
          <w:p/>
        </w:tc>
        <w:tc>
          <w:tcPr>
            <w:tcW w:type="dxa" w:w="37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lef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Delivery Speed Gains by Capability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8D8D8D"/>
                <w:sz w:val="18"/>
                <w:szCs w:val="18"/>
              </w:rPr>
              <w:t xml:space="preserve">Efficiency contribution — AI-assisted vs. traditional delivery:</w:t>
            </w:r>
          </w:p>
          <w:tbl>
            <w:tblPr>
              <w:tblW w:type="dxa" w:w="4493"/>
              <w:tblBorders>
                <w:top w:val="none"/>
                <w:left w:val="none"/>
                <w:bottom w:val="none"/>
                <w:right w:val="none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  <w:gridCol w:w="100"/>
            </w:tblGrid>
            <w:tr>
              <w:tc>
                <w:tcPr>
                  <w:tcW w:type="dxa" w:w="22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AI-assisted coding</w:t>
                  </w:r>
                </w:p>
              </w:tc>
              <w:tc>
                <w:tcPr>
                  <w:tcW w:type="dxa" w:w="3360"/>
                  <w:tcBorders>
                    <w:top w:val="none"/>
                    <w:left w:val="none"/>
                    <w:bottom w:val="none"/>
                    <w:right w:val="none"/>
                  </w:tcBorders>
                  <w:shd w:fill="0F62FE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840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+30% capacity</w:t>
                  </w:r>
                </w:p>
              </w:tc>
            </w:tr>
            <w:tr>
              <w:tc>
                <w:tcPr>
                  <w:tcW w:type="dxa" w:w="22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Automated test generation</w:t>
                  </w:r>
                </w:p>
              </w:tc>
              <w:tc>
                <w:tcPr>
                  <w:tcW w:type="dxa" w:w="3150"/>
                  <w:tcBorders>
                    <w:top w:val="none"/>
                    <w:left w:val="none"/>
                    <w:bottom w:val="none"/>
                    <w:right w:val="none"/>
                  </w:tcBorders>
                  <w:shd w:fill="007D79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50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7D79"/>
                      <w:sz w:val="18"/>
                      <w:szCs w:val="18"/>
                    </w:rPr>
                    <w:t xml:space="preserve">+25% QE speed</w:t>
                  </w:r>
                </w:p>
              </w:tc>
            </w:tr>
            <w:tr>
              <w:tc>
                <w:tcPr>
                  <w:tcW w:type="dxa" w:w="22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Risk-scored deployments</w:t>
                  </w:r>
                </w:p>
              </w:tc>
              <w:tc>
                <w:tcPr>
                  <w:tcW w:type="dxa" w:w="2940"/>
                  <w:tcBorders>
                    <w:top w:val="none"/>
                    <w:left w:val="none"/>
                    <w:bottom w:val="none"/>
                    <w:right w:val="none"/>
                  </w:tcBorders>
                  <w:shd w:fill="0043CE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260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43CE"/>
                      <w:sz w:val="18"/>
                      <w:szCs w:val="18"/>
                    </w:rPr>
                    <w:t xml:space="preserve">−60% failures</w:t>
                  </w:r>
                </w:p>
              </w:tc>
            </w:tr>
            <w:tr>
              <w:tc>
                <w:tcPr>
                  <w:tcW w:type="dxa" w:w="22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Modernisation-in-stride</w:t>
                  </w:r>
                </w:p>
              </w:tc>
              <w:tc>
                <w:tcPr>
                  <w:tcW w:type="dxa" w:w="2520"/>
                  <w:tcBorders>
                    <w:top w:val="none"/>
                    <w:left w:val="none"/>
                    <w:bottom w:val="none"/>
                    <w:right w:val="none"/>
                  </w:tcBorders>
                  <w:shd w:fill="6929C4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80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6929C4"/>
                      <w:sz w:val="18"/>
                      <w:szCs w:val="18"/>
                    </w:rPr>
                    <w:t xml:space="preserve">Debt −30%/yr</w:t>
                  </w:r>
                </w:p>
              </w:tc>
            </w:tr>
            <w:tr>
              <w:tc>
                <w:tcPr>
                  <w:tcW w:type="dxa" w:w="22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Domain pod alignment</w:t>
                  </w:r>
                </w:p>
              </w:tc>
              <w:tc>
                <w:tcPr>
                  <w:tcW w:type="dxa" w:w="2730"/>
                  <w:tcBorders>
                    <w:top w:val="none"/>
                    <w:left w:val="none"/>
                    <w:bottom w:val="none"/>
                    <w:right w:val="none"/>
                  </w:tcBorders>
                  <w:shd w:fill="005D5D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470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5D5D"/>
                      <w:sz w:val="18"/>
                      <w:szCs w:val="18"/>
                    </w:rPr>
                    <w:t xml:space="preserve">−40% handoffs</w:t>
                  </w:r>
                </w:p>
              </w:tc>
            </w:tr>
          </w:tbl>
          <w:p>
            <w:pPr>
              <w:spacing w:after="1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The Modernisation Continuum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1872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Action</w:t>
                  </w:r>
                </w:p>
              </w:tc>
              <w:tc>
                <w:tcPr>
                  <w:tcW w:type="dxa" w:w="1498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Approach</w:t>
                  </w:r>
                </w:p>
              </w:tc>
              <w:tc>
                <w:tcPr>
                  <w:tcW w:type="dxa" w:w="1123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When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API-wrap legacy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9"/>
                      <w:szCs w:val="19"/>
                    </w:rPr>
                    <w:t xml:space="preserve">Expose as service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Wave 1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Rehost workloads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9"/>
                      <w:szCs w:val="19"/>
                    </w:rPr>
                    <w:t xml:space="preserve">Lift &amp; validate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Wave 2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Refactor priority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9"/>
                      <w:szCs w:val="19"/>
                    </w:rPr>
                    <w:t xml:space="preserve">Selective rebuild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Wave 3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Retire &amp; replace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9"/>
                      <w:szCs w:val="19"/>
                    </w:rPr>
                    <w:t xml:space="preserve">Replace with SaaS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Ongoing</w:t>
                  </w:r>
                </w:p>
              </w:tc>
            </w:tr>
          </w:tbl>
          <w:p/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4" w:space="6"/>
        </w:pBdr>
        <w:spacing w:after="20" w:before="240"/>
      </w:pPr>
    </w:p>
    <w:p>
      <w:pPr>
        <w:spacing w:after="20" w:before="2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6"/>
          <w:szCs w:val="16"/>
        </w:rPr>
        <w:t xml:space="preserve">4.0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6"/>
          <w:szCs w:val="26"/>
        </w:rPr>
        <w:t xml:space="preserve">QUALITY ENGINEERING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8D8D8D"/>
          <w:sz w:val="19"/>
          <w:szCs w:val="19"/>
        </w:rPr>
        <w:t xml:space="preserve">   Quality is not a checkpoint. It is a continuous signal.</w:t>
      </w:r>
    </w:p>
    <w:p>
      <w:pPr>
        <w:pBdr>
          <w:left w:val="single" w:color="0F62FE" w:sz="18" w:space="8"/>
        </w:pBdr>
        <w:shd w:fill="EBF2FF" w:val="solid"/>
        <w:spacing w:after="0" w:before="100"/>
        <w:ind w:left="200" w:right="160"/>
      </w:pPr>
    </w:p>
    <w:p>
      <w:pPr>
        <w:pBdr>
          <w:left w:val="single" w:color="0F62FE" w:sz="18" w:space="8"/>
        </w:pBdr>
        <w:shd w:fill="EBF2FF" w:val="solid"/>
        <w:spacing w:after="40" w:before="60"/>
        <w:ind w:left="200" w:right="16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001141"/>
          <w:sz w:val="21"/>
          <w:szCs w:val="21"/>
        </w:rPr>
        <w:t xml:space="preserve">“When a defect reaches production, it has already cost Horizon 10× more to fix than if it had been caught at the commit stage. IBM’s GenAI quality engine shifts the catch point left — dramatically.”</w:t>
      </w:r>
    </w:p>
    <w:p>
      <w:pPr>
        <w:pBdr>
          <w:left w:val="single" w:color="0F62FE" w:sz="18" w:space="8"/>
        </w:pBdr>
        <w:shd w:fill="EBF2FF" w:val="solid"/>
        <w:spacing w:after="100" w:before="0"/>
        <w:ind w:left="200" w:right="16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8"/>
          <w:szCs w:val="18"/>
        </w:rPr>
        <w:t xml:space="preserve">— IBM Quality Engineering — Shift-Left Framework</w:t>
      </w:r>
    </w:p>
    <w:p>
      <w:pPr>
        <w:pBdr>
          <w:left w:val="single" w:color="0F62FE" w:sz="18" w:space="8"/>
        </w:pBdr>
        <w:shd w:fill="EBF2FF" w:val="solid"/>
        <w:spacing w:after="100" w:before="0"/>
        <w:ind w:left="200" w:right="160"/>
      </w:pP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righ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The Four Layers of Quality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1"/>
                <w:szCs w:val="21"/>
              </w:rPr>
              <w:t xml:space="preserve">Commit-Level AI Review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The moment a developer pushes code, AI reviews it — flagging security risk, test gaps, and performance anti-patterns before a human reviewer sees it.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1"/>
                <w:szCs w:val="21"/>
              </w:rPr>
              <w:t xml:space="preserve">GenAI Test Generation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AI synthesises regression, integration, and edge-case tests from code changes at commit speed. Coverage grows automatically — without manual test authoring.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1"/>
                <w:szCs w:val="21"/>
              </w:rPr>
              <w:t xml:space="preserve">Defect Prediction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AI models trained on Horizon's own incident history identify high-risk code paths before they reach UAT. Fewer defects reach staging; far fewer reach production.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1"/>
                <w:szCs w:val="21"/>
              </w:rPr>
              <w:t xml:space="preserve">Production Feedback Loop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Every production defect teaches the quality engine. The test suite improves with every release — an ever-tightening quality net that never stays static.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2246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QE Metric</w:t>
                  </w:r>
                </w:p>
              </w:tc>
              <w:tc>
                <w:tcPr>
                  <w:tcW w:type="dxa" w:w="936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Today</w:t>
                  </w:r>
                </w:p>
              </w:tc>
              <w:tc>
                <w:tcPr>
                  <w:tcW w:type="dxa" w:w="1310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12-Month Target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Test automation coverage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9"/>
                      <w:szCs w:val="19"/>
                    </w:rPr>
                    <w:t xml:space="preserve">~25%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80%+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Defect escape to production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9"/>
                      <w:szCs w:val="19"/>
                    </w:rPr>
                    <w:t xml:space="preserve">High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−65%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Regression cycle time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9"/>
                      <w:szCs w:val="19"/>
                    </w:rPr>
                    <w:t xml:space="preserve">Multi-day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−70%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Mean time to detect (MTTD)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9"/>
                      <w:szCs w:val="19"/>
                    </w:rPr>
                    <w:t xml:space="preserve">&gt;2 hours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&lt;15 min</w:t>
                  </w:r>
                </w:p>
              </w:tc>
            </w:tr>
          </w:tbl>
          <w:p/>
        </w:tc>
        <w:tc>
          <w:tcPr>
            <w:tcW w:type="dxa" w:w="37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lef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Test Automation Coverage Journey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8D8D8D"/>
                <w:sz w:val="18"/>
                <w:szCs w:val="18"/>
              </w:rPr>
              <w:t xml:space="preserve">From ~25% today to 80%+ by month 12:</w:t>
            </w:r>
          </w:p>
          <w:tbl>
            <w:tblPr>
              <w:tblW w:type="dxa" w:w="4493"/>
              <w:tblBorders>
                <w:top w:val="none"/>
                <w:left w:val="none"/>
                <w:bottom w:val="none"/>
                <w:right w:val="none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  <w:gridCol w:w="100"/>
            </w:tblGrid>
            <w:tr>
              <w:tc>
                <w:tcPr>
                  <w:tcW w:type="dxa" w:w="20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Month 0  — Baseline</w:t>
                  </w:r>
                </w:p>
              </w:tc>
              <w:tc>
                <w:tcPr>
                  <w:tcW w:type="dxa" w:w="1100"/>
                  <w:tcBorders>
                    <w:top w:val="none"/>
                    <w:left w:val="none"/>
                    <w:bottom w:val="none"/>
                    <w:right w:val="none"/>
                  </w:tcBorders>
                  <w:shd w:fill="8D8D8D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00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8D8D8D"/>
                      <w:sz w:val="18"/>
                      <w:szCs w:val="18"/>
                    </w:rPr>
                    <w:t xml:space="preserve">~25%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Month 3  — Ignite</w:t>
                  </w:r>
                </w:p>
              </w:tc>
              <w:tc>
                <w:tcPr>
                  <w:tcW w:type="dxa" w:w="1980"/>
                  <w:tcBorders>
                    <w:top w:val="none"/>
                    <w:left w:val="none"/>
                    <w:bottom w:val="none"/>
                    <w:right w:val="none"/>
                  </w:tcBorders>
                  <w:shd w:fill="0072C3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420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72C3"/>
                      <w:sz w:val="18"/>
                      <w:szCs w:val="18"/>
                    </w:rPr>
                    <w:t xml:space="preserve">45%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Month 6  — Scale</w:t>
                  </w:r>
                </w:p>
              </w:tc>
              <w:tc>
                <w:tcPr>
                  <w:tcW w:type="dxa" w:w="2728"/>
                  <w:tcBorders>
                    <w:top w:val="none"/>
                    <w:left w:val="none"/>
                    <w:bottom w:val="none"/>
                    <w:right w:val="none"/>
                  </w:tcBorders>
                  <w:shd w:fill="0043CE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2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43CE"/>
                      <w:sz w:val="18"/>
                      <w:szCs w:val="18"/>
                    </w:rPr>
                    <w:t xml:space="preserve">62%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Month 9  — Optimize</w:t>
                  </w:r>
                </w:p>
              </w:tc>
              <w:tc>
                <w:tcPr>
                  <w:tcW w:type="dxa" w:w="3300"/>
                  <w:tcBorders>
                    <w:top w:val="none"/>
                    <w:left w:val="none"/>
                    <w:bottom w:val="none"/>
                    <w:right w:val="none"/>
                  </w:tcBorders>
                  <w:shd w:fill="0F62FE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100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75%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Month 12 — Target</w:t>
                  </w:r>
                </w:p>
              </w:tc>
              <w:tc>
                <w:tcPr>
                  <w:tcW w:type="dxa" w:w="3608"/>
                  <w:tcBorders>
                    <w:top w:val="none"/>
                    <w:left w:val="none"/>
                    <w:bottom w:val="none"/>
                    <w:right w:val="none"/>
                  </w:tcBorders>
                  <w:shd w:fill="001141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792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8"/>
                      <w:szCs w:val="18"/>
                    </w:rPr>
                    <w:t xml:space="preserve">82%+</w:t>
                  </w:r>
                </w:p>
              </w:tc>
            </w:tr>
          </w:tbl>
          <w:p>
            <w:pPr>
              <w:spacing w:after="1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Quality Governance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</w:tblGrid>
            <w:tr>
              <w:tc>
                <w:tcPr>
                  <w:tcW w:type="dxa" w:w="2059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Gate</w:t>
                  </w:r>
                </w:p>
              </w:tc>
              <w:tc>
                <w:tcPr>
                  <w:tcW w:type="dxa" w:w="2434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Criteria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Commit gate</w:t>
                  </w:r>
                </w:p>
              </w:tc>
              <w:tc>
                <w:tcPr>
                  <w:tcW w:type="dxa" w:w="2434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9"/>
                      <w:szCs w:val="19"/>
                    </w:rPr>
                    <w:t xml:space="preserve">AI review + coverage delta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Build gate</w:t>
                  </w:r>
                </w:p>
              </w:tc>
              <w:tc>
                <w:tcPr>
                  <w:tcW w:type="dxa" w:w="2434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9"/>
                      <w:szCs w:val="19"/>
                    </w:rPr>
                    <w:t xml:space="preserve">Unit test pass rate &gt;98%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Staging gate</w:t>
                  </w:r>
                </w:p>
              </w:tc>
              <w:tc>
                <w:tcPr>
                  <w:tcW w:type="dxa" w:w="2434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9"/>
                      <w:szCs w:val="19"/>
                    </w:rPr>
                    <w:t xml:space="preserve">Integration + perf benchmarks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Release gate</w:t>
                  </w:r>
                </w:p>
              </w:tc>
              <w:tc>
                <w:tcPr>
                  <w:tcW w:type="dxa" w:w="2434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9"/>
                      <w:szCs w:val="19"/>
                    </w:rPr>
                    <w:t xml:space="preserve">AI risk score + exec sign-off (Tier 1)</w:t>
                  </w:r>
                </w:p>
              </w:tc>
            </w:tr>
          </w:tbl>
          <w:p/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4" w:space="6"/>
        </w:pBdr>
        <w:spacing w:after="20" w:before="240"/>
      </w:pPr>
    </w:p>
    <w:p>
      <w:pPr>
        <w:spacing w:after="20" w:before="2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6"/>
          <w:szCs w:val="16"/>
        </w:rPr>
        <w:t xml:space="preserve">5.0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6"/>
          <w:szCs w:val="26"/>
        </w:rPr>
        <w:t xml:space="preserve">AIOPS &amp; AGENTIC OPERATIONS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8D8D8D"/>
          <w:sz w:val="19"/>
          <w:szCs w:val="19"/>
        </w:rPr>
        <w:t xml:space="preserve">   From firefighting to self-healing intelligence</w:t>
      </w:r>
    </w:p>
    <w:p>
      <w:pPr>
        <w:pBdr>
          <w:left w:val="single" w:color="0F62FE" w:sz="18" w:space="8"/>
        </w:pBdr>
        <w:shd w:fill="EBF2FF" w:val="solid"/>
        <w:spacing w:after="0" w:before="100"/>
        <w:ind w:left="200" w:right="160"/>
      </w:pPr>
    </w:p>
    <w:p>
      <w:pPr>
        <w:pBdr>
          <w:left w:val="single" w:color="0F62FE" w:sz="18" w:space="8"/>
        </w:pBdr>
        <w:shd w:fill="EBF2FF" w:val="solid"/>
        <w:spacing w:after="40" w:before="60"/>
        <w:ind w:left="200" w:right="16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001141"/>
          <w:sz w:val="21"/>
          <w:szCs w:val="21"/>
        </w:rPr>
        <w:t xml:space="preserve">“When AI detects, diagnoses, and resolves — engineers stop reacting to alerts and start building capability. That capacity shift is worth $8–12M in annual value for Horizon’s estate.”</w:t>
      </w:r>
    </w:p>
    <w:p>
      <w:pPr>
        <w:pBdr>
          <w:left w:val="single" w:color="0F62FE" w:sz="18" w:space="8"/>
        </w:pBdr>
        <w:shd w:fill="EBF2FF" w:val="solid"/>
        <w:spacing w:after="100" w:before="0"/>
        <w:ind w:left="200" w:right="16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8"/>
          <w:szCs w:val="18"/>
        </w:rPr>
        <w:t xml:space="preserve">— IBM AIOps Value Case — Horizon 500-App Estate</w:t>
      </w:r>
    </w:p>
    <w:p>
      <w:pPr>
        <w:pBdr>
          <w:left w:val="single" w:color="0F62FE" w:sz="18" w:space="8"/>
        </w:pBdr>
        <w:shd w:fill="EBF2FF" w:val="solid"/>
        <w:spacing w:after="100" w:before="0"/>
        <w:ind w:left="200" w:right="160"/>
      </w:pP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1"/>
          <w:szCs w:val="21"/>
        </w:rPr>
        <w:t xml:space="preserve">The Zero-Touch Operations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F62FE" w:val="solid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DETECT
Correlate signals
Anomaly detection
&gt;60% noise cut</w:t>
            </w:r>
          </w:p>
        </w:tc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072C3" w:val="solid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TRIAGE
AI routing
Impact scoring
Auto-prioritise</w:t>
            </w:r>
          </w:p>
        </w:tc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043CE" w:val="solid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DIAGNOSE
Root cause AI
Runbook guidance
Pattern matching</w:t>
            </w:r>
          </w:p>
        </w:tc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05D5D" w:val="solid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RESOLVE
Self-heal P3/P4
Auto-remediate
Zero-touch</w:t>
            </w:r>
          </w:p>
        </w:tc>
        <w:tc>
          <w:tcPr>
            <w:tcW w:type="dxa" w:w="1872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007D79" w:val="solid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60" w:before="1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LEARN
Post-incident AI
Knowledge capture
Prevent recurrence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righ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AI Agents at Work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1872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Agent</w:t>
                  </w:r>
                </w:p>
              </w:tc>
              <w:tc>
                <w:tcPr>
                  <w:tcW w:type="dxa" w:w="1685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What It Does</w:t>
                  </w:r>
                </w:p>
              </w:tc>
              <w:tc>
                <w:tcPr>
                  <w:tcW w:type="dxa" w:w="936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Detection &amp; Correlation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Cuts alert noise by &gt;60%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$2.5–3.5M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Triage AI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Routes issues instantly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$1.3–1.5M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Root Cause Agent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Diagnoses in seconds, not hours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$2.0–3.0M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Auto-Remediation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Resolves P3/P4 without human touch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$1.5–2.0M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Knowledge Agent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Learns from every incident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$1.0–1.3M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Deployment AI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Risk-scores every release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$0.8–1.2M</w:t>
                  </w:r>
                </w:p>
              </w:tc>
            </w:tr>
          </w:tbl>
          <w:p/>
        </w:tc>
        <w:tc>
          <w:tcPr>
            <w:tcW w:type="dxa" w:w="37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lef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Before vs. After — Operations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8D8D8D"/>
                <w:sz w:val="18"/>
                <w:szCs w:val="18"/>
              </w:rPr>
              <w:t xml:space="preserve">Key metric shifts from IBM AIOps deployment: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2059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Metric</w:t>
                  </w:r>
                </w:p>
              </w:tc>
              <w:tc>
                <w:tcPr>
                  <w:tcW w:type="dxa" w:w="1123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Today</w:t>
                  </w:r>
                </w:p>
              </w:tc>
              <w:tc>
                <w:tcPr>
                  <w:tcW w:type="dxa" w:w="1310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With IBM AIOps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Mean Time to Resolve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&gt;4 hours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&lt;1.8 hours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P3/P4 Auto-Resolution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&lt;10%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&gt;74%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Alert Noise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Unfiltered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&gt;60% cut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System Availability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~99.7%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99.9%+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Recurring Incidents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Unmanaged</w:t>
                  </w:r>
                </w:p>
              </w:tc>
              <w:tc>
                <w:tcPr>
                  <w:tcW w:type="dxa" w:w="1310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−50% demand</w:t>
                  </w:r>
                </w:p>
              </w:tc>
            </w:tr>
          </w:tbl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p>
            <w:pPr>
              <w:shd w:fill="EBF2FF" w:val="solid"/>
              <w:spacing w:after="120" w:before="120"/>
              <w:ind w:left="200" w:right="2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0"/>
                <w:szCs w:val="20"/>
              </w:rPr>
              <w:t xml:space="preserve">The target: most incidents are resolved before a human is notified. That is zero-touch operations.</w:t>
            </w:r>
          </w:p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4" w:space="6"/>
        </w:pBdr>
        <w:spacing w:after="20" w:before="240"/>
      </w:pPr>
    </w:p>
    <w:p>
      <w:pPr>
        <w:spacing w:after="20" w:before="2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6"/>
          <w:szCs w:val="16"/>
        </w:rPr>
        <w:t xml:space="preserve">6.0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6"/>
          <w:szCs w:val="26"/>
        </w:rPr>
        <w:t xml:space="preserve">BUSINESS OUTCOMES &amp; VALUE REALIZATION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8D8D8D"/>
          <w:sz w:val="19"/>
          <w:szCs w:val="19"/>
        </w:rPr>
        <w:t xml:space="preserve">   Every initiative connects to a measurable business result</w:t>
      </w:r>
    </w:p>
    <w:p>
      <w:pPr>
        <w:pBdr>
          <w:left w:val="single" w:color="0F62FE" w:sz="18" w:space="8"/>
        </w:pBdr>
        <w:shd w:fill="EBF2FF" w:val="solid"/>
        <w:spacing w:after="0" w:before="100"/>
        <w:ind w:left="200" w:right="160"/>
      </w:pPr>
    </w:p>
    <w:p>
      <w:pPr>
        <w:pBdr>
          <w:left w:val="single" w:color="0F62FE" w:sz="18" w:space="8"/>
        </w:pBdr>
        <w:shd w:fill="EBF2FF" w:val="solid"/>
        <w:spacing w:after="40" w:before="60"/>
        <w:ind w:left="200" w:right="16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001141"/>
          <w:sz w:val="21"/>
          <w:szCs w:val="21"/>
        </w:rPr>
        <w:t xml:space="preserve">“IBM measures success in business currency — not ticket counts. Claims cycle time. Member satisfaction. Enrollment speed. Cost per application. These are the numbers that matter to Horizon’s leadership.”</w:t>
      </w:r>
    </w:p>
    <w:p>
      <w:pPr>
        <w:pBdr>
          <w:left w:val="single" w:color="0F62FE" w:sz="18" w:space="8"/>
        </w:pBdr>
        <w:shd w:fill="EBF2FF" w:val="solid"/>
        <w:spacing w:after="100" w:before="0"/>
        <w:ind w:left="200" w:right="16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8"/>
          <w:szCs w:val="18"/>
        </w:rPr>
        <w:t xml:space="preserve">— IBM Outcome Governance Framework</w:t>
      </w:r>
    </w:p>
    <w:p>
      <w:pPr>
        <w:pBdr>
          <w:left w:val="single" w:color="0F62FE" w:sz="18" w:space="8"/>
        </w:pBdr>
        <w:shd w:fill="EBF2FF" w:val="solid"/>
        <w:spacing w:after="100" w:before="0"/>
        <w:ind w:left="200" w:right="160"/>
      </w:pP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righ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Business Domain Outcomes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1778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Business Domain</w:t>
                  </w:r>
                </w:p>
              </w:tc>
              <w:tc>
                <w:tcPr>
                  <w:tcW w:type="dxa" w:w="1591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KPI</w:t>
                  </w:r>
                </w:p>
              </w:tc>
              <w:tc>
                <w:tcPr>
                  <w:tcW w:type="dxa" w:w="1123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Target</w:t>
                  </w:r>
                </w:p>
              </w:tc>
            </w:tr>
            <w:tr>
              <w:tc>
                <w:tcPr>
                  <w:tcW w:type="dxa" w:w="177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Claims Adjudication</w:t>
                  </w:r>
                </w:p>
              </w:tc>
              <w:tc>
                <w:tcPr>
                  <w:tcW w:type="dxa" w:w="159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Processing cycle time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−30%</w:t>
                  </w:r>
                </w:p>
              </w:tc>
            </w:tr>
            <w:tr>
              <w:tc>
                <w:tcPr>
                  <w:tcW w:type="dxa" w:w="177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Enrollment</w:t>
                  </w:r>
                </w:p>
              </w:tc>
              <w:tc>
                <w:tcPr>
                  <w:tcW w:type="dxa" w:w="159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Time-to-activation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−40%</w:t>
                  </w:r>
                </w:p>
              </w:tc>
            </w:tr>
            <w:tr>
              <w:tc>
                <w:tcPr>
                  <w:tcW w:type="dxa" w:w="177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Member Services</w:t>
                  </w:r>
                </w:p>
              </w:tc>
              <w:tc>
                <w:tcPr>
                  <w:tcW w:type="dxa" w:w="159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First-call resolution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+25%</w:t>
                  </w:r>
                </w:p>
              </w:tc>
            </w:tr>
            <w:tr>
              <w:tc>
                <w:tcPr>
                  <w:tcW w:type="dxa" w:w="177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Provider Operations</w:t>
                  </w:r>
                </w:p>
              </w:tc>
              <w:tc>
                <w:tcPr>
                  <w:tcW w:type="dxa" w:w="159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Auth processing time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−35%</w:t>
                  </w:r>
                </w:p>
              </w:tc>
            </w:tr>
            <w:tr>
              <w:tc>
                <w:tcPr>
                  <w:tcW w:type="dxa" w:w="177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Data &amp; Reporting</w:t>
                  </w:r>
                </w:p>
              </w:tc>
              <w:tc>
                <w:tcPr>
                  <w:tcW w:type="dxa" w:w="159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Report delivery latency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−50%</w:t>
                  </w:r>
                </w:p>
              </w:tc>
            </w:tr>
            <w:tr>
              <w:tc>
                <w:tcPr>
                  <w:tcW w:type="dxa" w:w="177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IT Operations</w:t>
                  </w:r>
                </w:p>
              </w:tc>
              <w:tc>
                <w:tcPr>
                  <w:tcW w:type="dxa" w:w="1591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Auto-resolution rate</w:t>
                  </w:r>
                </w:p>
              </w:tc>
              <w:tc>
                <w:tcPr>
                  <w:tcW w:type="dxa" w:w="1123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9"/>
                      <w:szCs w:val="19"/>
                    </w:rPr>
                    <w:t xml:space="preserve">&gt;74%</w:t>
                  </w:r>
                </w:p>
              </w:tc>
            </w:tr>
          </w:tbl>
          <w:p>
            <w:pPr>
              <w:spacing w:after="10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Cumulative Cost Takeout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8D8D8D"/>
                <w:sz w:val="18"/>
                <w:szCs w:val="18"/>
              </w:rPr>
              <w:t xml:space="preserve">Directional — baselines locked in Phase 0:</w:t>
            </w:r>
          </w:p>
          <w:tbl>
            <w:tblPr>
              <w:tblW w:type="dxa" w:w="4493"/>
              <w:tblBorders>
                <w:top w:val="none"/>
                <w:left w:val="none"/>
                <w:bottom w:val="none"/>
                <w:right w:val="none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  <w:gridCol w:w="100"/>
            </w:tblGrid>
            <w:tr>
              <w:tc>
                <w:tcPr>
                  <w:tcW w:type="dxa" w:w="22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Month 3  (Ignite complete)</w:t>
                  </w:r>
                </w:p>
              </w:tc>
              <w:tc>
                <w:tcPr>
                  <w:tcW w:type="dxa" w:w="516"/>
                  <w:tcBorders>
                    <w:top w:val="none"/>
                    <w:left w:val="none"/>
                    <w:bottom w:val="none"/>
                    <w:right w:val="none"/>
                  </w:tcBorders>
                  <w:shd w:fill="0072C3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84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4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72C3"/>
                      <w:sz w:val="18"/>
                      <w:szCs w:val="18"/>
                    </w:rPr>
                    <w:t xml:space="preserve">$1–2M</w:t>
                  </w:r>
                </w:p>
              </w:tc>
            </w:tr>
            <w:tr>
              <w:tc>
                <w:tcPr>
                  <w:tcW w:type="dxa" w:w="22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Month 6  (Scale complete)</w:t>
                  </w:r>
                </w:p>
              </w:tc>
              <w:tc>
                <w:tcPr>
                  <w:tcW w:type="dxa" w:w="1290"/>
                  <w:tcBorders>
                    <w:top w:val="none"/>
                    <w:left w:val="none"/>
                    <w:bottom w:val="none"/>
                    <w:right w:val="none"/>
                  </w:tcBorders>
                  <w:shd w:fill="0043CE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10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4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43CE"/>
                      <w:sz w:val="18"/>
                      <w:szCs w:val="18"/>
                    </w:rPr>
                    <w:t xml:space="preserve">$3–5M</w:t>
                  </w:r>
                </w:p>
              </w:tc>
            </w:tr>
            <w:tr>
              <w:tc>
                <w:tcPr>
                  <w:tcW w:type="dxa" w:w="22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Month 12 (Optimize complete)</w:t>
                  </w:r>
                </w:p>
              </w:tc>
              <w:tc>
                <w:tcPr>
                  <w:tcW w:type="dxa" w:w="2580"/>
                  <w:tcBorders>
                    <w:top w:val="none"/>
                    <w:left w:val="none"/>
                    <w:bottom w:val="none"/>
                    <w:right w:val="none"/>
                  </w:tcBorders>
                  <w:shd w:fill="0F62FE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720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4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$6–10M</w:t>
                  </w:r>
                </w:p>
              </w:tc>
            </w:tr>
            <w:tr>
              <w:tc>
                <w:tcPr>
                  <w:tcW w:type="dxa" w:w="22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Month 24 (Transform complete)</w:t>
                  </w:r>
                </w:p>
              </w:tc>
              <w:tc>
                <w:tcPr>
                  <w:tcW w:type="dxa" w:w="4300"/>
                  <w:tcBorders>
                    <w:top w:val="none"/>
                    <w:left w:val="none"/>
                    <w:bottom w:val="none"/>
                    <w:right w:val="none"/>
                  </w:tcBorders>
                  <w:shd w:fill="001141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0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4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8"/>
                      <w:szCs w:val="18"/>
                    </w:rPr>
                    <w:t xml:space="preserve">$12–18M+</w:t>
                  </w:r>
                </w:p>
              </w:tc>
            </w:tr>
          </w:tbl>
          <w:p/>
        </w:tc>
        <w:tc>
          <w:tcPr>
            <w:tcW w:type="dxa" w:w="37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lef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Value by Initiative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8D8D8D"/>
                <w:sz w:val="18"/>
                <w:szCs w:val="18"/>
              </w:rPr>
              <w:t xml:space="preserve">Annual directional value contribution:</w:t>
            </w:r>
          </w:p>
          <w:tbl>
            <w:tblPr>
              <w:tblW w:type="dxa" w:w="4493"/>
              <w:tblBorders>
                <w:top w:val="none"/>
                <w:left w:val="none"/>
                <w:bottom w:val="none"/>
                <w:right w:val="none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  <w:gridCol w:w="100"/>
            </w:tblGrid>
            <w:tr>
              <w:tc>
                <w:tcPr>
                  <w:tcW w:type="dxa" w:w="24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AIOps &amp; Self-Healing Ops</w:t>
                  </w:r>
                </w:p>
              </w:tc>
              <w:tc>
                <w:tcPr>
                  <w:tcW w:type="dxa" w:w="3230"/>
                  <w:tcBorders>
                    <w:top w:val="none"/>
                    <w:left w:val="none"/>
                    <w:bottom w:val="none"/>
                    <w:right w:val="none"/>
                  </w:tcBorders>
                  <w:shd w:fill="0F62FE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70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7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$3.5–6.5M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GenAI Quality Engineering</w:t>
                  </w:r>
                </w:p>
              </w:tc>
              <w:tc>
                <w:tcPr>
                  <w:tcW w:type="dxa" w:w="2736"/>
                  <w:tcBorders>
                    <w:top w:val="none"/>
                    <w:left w:val="none"/>
                    <w:bottom w:val="none"/>
                    <w:right w:val="none"/>
                  </w:tcBorders>
                  <w:shd w:fill="007D79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64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7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7D79"/>
                      <w:sz w:val="18"/>
                      <w:szCs w:val="18"/>
                    </w:rPr>
                    <w:t xml:space="preserve">$2.5–4.0M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Zero-Touch Delivery Pipeline</w:t>
                  </w:r>
                </w:p>
              </w:tc>
              <w:tc>
                <w:tcPr>
                  <w:tcW w:type="dxa" w:w="2280"/>
                  <w:tcBorders>
                    <w:top w:val="none"/>
                    <w:left w:val="none"/>
                    <w:bottom w:val="none"/>
                    <w:right w:val="none"/>
                  </w:tcBorders>
                  <w:shd w:fill="0043CE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520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7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43CE"/>
                      <w:sz w:val="18"/>
                      <w:szCs w:val="18"/>
                    </w:rPr>
                    <w:t xml:space="preserve">$2.0–3.0M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Platform Modernisation</w:t>
                  </w:r>
                </w:p>
              </w:tc>
              <w:tc>
                <w:tcPr>
                  <w:tcW w:type="dxa" w:w="1824"/>
                  <w:tcBorders>
                    <w:top w:val="none"/>
                    <w:left w:val="none"/>
                    <w:bottom w:val="none"/>
                    <w:right w:val="none"/>
                  </w:tcBorders>
                  <w:shd w:fill="6929C4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976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7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6929C4"/>
                      <w:sz w:val="18"/>
                      <w:szCs w:val="18"/>
                    </w:rPr>
                    <w:t xml:space="preserve">$1.5–2.5M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Demand &amp; Ticket Reduction</w:t>
                  </w:r>
                </w:p>
              </w:tc>
              <w:tc>
                <w:tcPr>
                  <w:tcW w:type="dxa" w:w="2090"/>
                  <w:tcBorders>
                    <w:top w:val="none"/>
                    <w:left w:val="none"/>
                    <w:bottom w:val="none"/>
                    <w:right w:val="none"/>
                  </w:tcBorders>
                  <w:shd w:fill="005D5D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710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7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5D5D"/>
                      <w:sz w:val="18"/>
                      <w:szCs w:val="18"/>
                    </w:rPr>
                    <w:t xml:space="preserve">$1.0–2.0M</w:t>
                  </w:r>
                </w:p>
              </w:tc>
            </w:tr>
          </w:tbl>
          <w:p>
            <w:pPr>
              <w:spacing w:after="10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Three-Tier Governance Model</w:t>
            </w:r>
          </w:p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Operational  (Weekly)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SLA adherence, MTTR, pipeline velocity — tracked live in CareOps360.</w:t>
            </w:r>
          </w:p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Executive  (Monthly)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Cost takeout actuals, coverage progress, modernisation milestones, business KPI movement.</w:t>
            </w:r>
          </w:p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0"/>
                <w:szCs w:val="20"/>
              </w:rPr>
              <w:t xml:space="preserve">Board  (Quarterly)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Strategic outcomes: total value realised, innovation delivered, year-ahead priorities.</w:t>
            </w:r>
          </w:p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4" w:space="6"/>
        </w:pBdr>
        <w:spacing w:after="20" w:before="240"/>
      </w:pPr>
    </w:p>
    <w:p>
      <w:pPr>
        <w:spacing w:after="20" w:before="2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6"/>
          <w:szCs w:val="16"/>
        </w:rPr>
        <w:t xml:space="preserve">7.0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6"/>
          <w:szCs w:val="26"/>
        </w:rPr>
        <w:t xml:space="preserve">PLATFORM &amp; DATA MODERNISATION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8D8D8D"/>
          <w:sz w:val="19"/>
          <w:szCs w:val="19"/>
        </w:rPr>
        <w:t xml:space="preserve">   Eliminating the debt that slows Horizon down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>IBM embeds platform modernisation into steady-state delivery — no separate programme, no disruption to BAU. Every sprint may include a modernisation action. Technical debt is tracked by business impact and burned down systematically.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righ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Modernisation Waves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1872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Workstream</w:t>
                  </w:r>
                </w:p>
              </w:tc>
              <w:tc>
                <w:tcPr>
                  <w:tcW w:type="dxa" w:w="1685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Approach</w:t>
                  </w:r>
                </w:p>
              </w:tc>
              <w:tc>
                <w:tcPr>
                  <w:tcW w:type="dxa" w:w="936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Wave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Integration Hub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API-first + event streaming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Wave 1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Mainframe APIs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API-wrap strategy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Wave 1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DataOps Pipelines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AI-driven quality engine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Wave 1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App Portfolio (~500)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Assess → rationalise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Wave 2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Mainframe Rehost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Lift-and-validate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Wave 2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Cloud Optimisation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Cost + performance tuning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Wave 2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Mainframe Refactor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Selective modernise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Wave 3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9"/>
                      <w:szCs w:val="19"/>
                    </w:rPr>
                    <w:t xml:space="preserve">Security &amp; Compliance</w:t>
                  </w:r>
                </w:p>
              </w:tc>
              <w:tc>
                <w:tcPr>
                  <w:tcW w:type="dxa" w:w="1685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n-1 standard + auto-patch</w:t>
                  </w:r>
                </w:p>
              </w:tc>
              <w:tc>
                <w:tcPr>
                  <w:tcW w:type="dxa" w:w="93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Ongoing</w:t>
                  </w:r>
                </w:p>
              </w:tc>
            </w:tr>
          </w:tbl>
          <w:p/>
        </w:tc>
        <w:tc>
          <w:tcPr>
            <w:tcW w:type="dxa" w:w="37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lef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Technical Debt Reduction Trajectory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8D8D8D"/>
                <w:sz w:val="18"/>
                <w:szCs w:val="18"/>
              </w:rPr>
              <w:t xml:space="preserve">Debt index (100 = today) — driven by n-1 enforcement and embedded modernisation:</w:t>
            </w:r>
          </w:p>
          <w:tbl>
            <w:tblPr>
              <w:tblW w:type="dxa" w:w="4493"/>
              <w:tblBorders>
                <w:top w:val="none"/>
                <w:left w:val="none"/>
                <w:bottom w:val="none"/>
                <w:right w:val="none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  <w:gridCol w:w="100"/>
            </w:tblGrid>
            <w:tr>
              <w:tc>
                <w:tcPr>
                  <w:tcW w:type="dxa" w:w="19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Q1  Baseline</w:t>
                  </w:r>
                </w:p>
              </w:tc>
              <w:tc>
                <w:tcPr>
                  <w:tcW w:type="dxa" w:w="4600"/>
                  <w:tcBorders>
                    <w:top w:val="none"/>
                    <w:left w:val="none"/>
                    <w:bottom w:val="none"/>
                    <w:right w:val="none"/>
                  </w:tcBorders>
                  <w:shd w:fill="DA1E28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0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4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100 (index)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Q2  Post Wave 1</w:t>
                  </w:r>
                </w:p>
              </w:tc>
              <w:tc>
                <w:tcPr>
                  <w:tcW w:type="dxa" w:w="3588"/>
                  <w:tcBorders>
                    <w:top w:val="none"/>
                    <w:left w:val="none"/>
                    <w:bottom w:val="none"/>
                    <w:right w:val="none"/>
                  </w:tcBorders>
                  <w:shd w:fill="FF8389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12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4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FF8389"/>
                      <w:sz w:val="18"/>
                      <w:szCs w:val="18"/>
                    </w:rPr>
                    <w:t xml:space="preserve">78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Q3  Scale</w:t>
                  </w:r>
                </w:p>
              </w:tc>
              <w:tc>
                <w:tcPr>
                  <w:tcW w:type="dxa" w:w="2852"/>
                  <w:tcBorders>
                    <w:top w:val="none"/>
                    <w:left w:val="none"/>
                    <w:bottom w:val="none"/>
                    <w:right w:val="none"/>
                  </w:tcBorders>
                  <w:shd w:fill="0072C3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748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4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72C3"/>
                      <w:sz w:val="18"/>
                      <w:szCs w:val="18"/>
                    </w:rPr>
                    <w:t xml:space="preserve">62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Q4  Optimize</w:t>
                  </w:r>
                </w:p>
              </w:tc>
              <w:tc>
                <w:tcPr>
                  <w:tcW w:type="dxa" w:w="2208"/>
                  <w:tcBorders>
                    <w:top w:val="none"/>
                    <w:left w:val="none"/>
                    <w:bottom w:val="none"/>
                    <w:right w:val="none"/>
                  </w:tcBorders>
                  <w:shd w:fill="0F62FE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392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4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48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525252"/>
                      <w:sz w:val="18"/>
                      <w:szCs w:val="18"/>
                    </w:rPr>
                    <w:t xml:space="preserve">Year 2 Target</w:t>
                  </w:r>
                </w:p>
              </w:tc>
              <w:tc>
                <w:tcPr>
                  <w:tcW w:type="dxa" w:w="1288"/>
                  <w:tcBorders>
                    <w:top w:val="none"/>
                    <w:left w:val="none"/>
                    <w:bottom w:val="none"/>
                    <w:right w:val="none"/>
                  </w:tcBorders>
                  <w:shd w:fill="001141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12"/>
                  <w:tcBorders>
                    <w:top w:val="none"/>
                    <w:left w:val="none"/>
                    <w:bottom w:val="none"/>
                    <w:right w:val="none"/>
                  </w:tcBorders>
                  <w:shd w:fill="E0E0E0" w:val="solid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161616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460"/>
                  <w:tcBorders>
                    <w:top w:val="none"/>
                    <w:left w:val="none"/>
                    <w:bottom w:val="none"/>
                    <w:right w:val="none"/>
                  </w:tcBorders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8"/>
                      <w:szCs w:val="18"/>
                    </w:rPr>
                    <w:t xml:space="preserve">&lt;30</w:t>
                  </w:r>
                </w:p>
              </w:tc>
            </w:tr>
          </w:tbl>
          <w:p>
            <w:pPr>
              <w:spacing w:after="10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Integration Architecture Shift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</w:tblGrid>
            <w:tr>
              <w:tc>
                <w:tcPr>
                  <w:tcW w:type="dxa" w:w="2246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Current State</w:t>
                  </w:r>
                </w:p>
              </w:tc>
              <w:tc>
                <w:tcPr>
                  <w:tcW w:type="dxa" w:w="2246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IBM Target State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Point-to-point coupling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API-first Integration Hub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Batch-heavy processing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Event-driven streaming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Manual data pipelines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AI-quality DataOps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Siloed observability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Unified estate monitoring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Manual patching cycles</w:t>
                  </w:r>
                </w:p>
              </w:tc>
              <w:tc>
                <w:tcPr>
                  <w:tcW w:type="dxa" w:w="2246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Auto-patch + n-1 standard</w:t>
                  </w:r>
                </w:p>
              </w:tc>
            </w:tr>
          </w:tbl>
          <w:p/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4" w:space="6"/>
        </w:pBdr>
        <w:spacing w:after="20" w:before="240"/>
      </w:pPr>
    </w:p>
    <w:p>
      <w:pPr>
        <w:spacing w:after="20" w:before="2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6"/>
          <w:szCs w:val="16"/>
        </w:rPr>
        <w:t xml:space="preserve">8.0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6"/>
          <w:szCs w:val="26"/>
        </w:rPr>
        <w:t xml:space="preserve">PHASED ROADMAP &amp; VALUE MILESTONES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8D8D8D"/>
          <w:sz w:val="19"/>
          <w:szCs w:val="19"/>
        </w:rPr>
        <w:t xml:space="preserve">   Risk-controlled · Compounding value · Transparent governance</w:t>
      </w:r>
    </w:p>
    <w:p>
      <w:pPr>
        <w:pBdr>
          <w:left w:val="single" w:color="0F62FE" w:sz="18" w:space="8"/>
        </w:pBdr>
        <w:shd w:fill="EBF2FF" w:val="solid"/>
        <w:spacing w:after="0" w:before="100"/>
        <w:ind w:left="200" w:right="160"/>
      </w:pPr>
    </w:p>
    <w:p>
      <w:pPr>
        <w:pBdr>
          <w:left w:val="single" w:color="0F62FE" w:sz="18" w:space="8"/>
        </w:pBdr>
        <w:shd w:fill="EBF2FF" w:val="solid"/>
        <w:spacing w:after="40" w:before="60"/>
        <w:ind w:left="200" w:right="16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001141"/>
          <w:sz w:val="21"/>
          <w:szCs w:val="21"/>
        </w:rPr>
        <w:t xml:space="preserve">“Value does not arrive at the end of a programme. It compounds from Day 1 — every automation added, every self-heal triggered, every defect caught early is a dollar returned to Horizon.”</w:t>
      </w:r>
    </w:p>
    <w:p>
      <w:pPr>
        <w:pBdr>
          <w:left w:val="single" w:color="0F62FE" w:sz="18" w:space="8"/>
        </w:pBdr>
        <w:shd w:fill="EBF2FF" w:val="solid"/>
        <w:spacing w:after="100" w:before="0"/>
        <w:ind w:left="200" w:right="16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8"/>
          <w:szCs w:val="18"/>
        </w:rPr>
        <w:t xml:space="preserve">— IBM Delivery Governance, April 2026</w:t>
      </w:r>
    </w:p>
    <w:p>
      <w:pPr>
        <w:pBdr>
          <w:left w:val="single" w:color="0F62FE" w:sz="18" w:space="8"/>
        </w:pBdr>
        <w:shd w:fill="EBF2FF" w:val="solid"/>
        <w:spacing w:after="100" w:before="0"/>
        <w:ind w:left="200" w:right="160"/>
      </w:pP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1"/>
          <w:szCs w:val="21"/>
        </w:rPr>
        <w:t xml:space="preserve">Phase-by-Phase Delivery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404"/>
            <w:tcBorders>
              <w:top w:val="single" w:color="0F62FE" w:sz="6"/>
              <w:left w:val="single" w:color="E0E0E0" w:sz="2"/>
              <w:bottom w:val="single" w:color="0F62FE" w:sz="4"/>
              <w:right w:val="single" w:color="E0E0E0" w:sz="2"/>
            </w:tcBorders>
            <w:shd w:fill="D0E2FF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9"/>
                <w:szCs w:val="19"/>
              </w:rPr>
              <w:t xml:space="preserve">Phase</w:t>
            </w:r>
          </w:p>
        </w:tc>
        <w:tc>
          <w:tcPr>
            <w:tcW w:type="dxa" w:w="1029"/>
            <w:tcBorders>
              <w:top w:val="single" w:color="0F62FE" w:sz="6"/>
              <w:left w:val="single" w:color="E0E0E0" w:sz="2"/>
              <w:bottom w:val="single" w:color="0F62FE" w:sz="4"/>
              <w:right w:val="single" w:color="E0E0E0" w:sz="2"/>
            </w:tcBorders>
            <w:shd w:fill="D0E2FF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9"/>
                <w:szCs w:val="19"/>
              </w:rPr>
              <w:t xml:space="preserve">Timeframe</w:t>
            </w:r>
          </w:p>
        </w:tc>
        <w:tc>
          <w:tcPr>
            <w:tcW w:type="dxa" w:w="4118"/>
            <w:tcBorders>
              <w:top w:val="single" w:color="0F62FE" w:sz="6"/>
              <w:left w:val="single" w:color="E0E0E0" w:sz="2"/>
              <w:bottom w:val="single" w:color="0F62FE" w:sz="4"/>
              <w:right w:val="single" w:color="E0E0E0" w:sz="2"/>
            </w:tcBorders>
            <w:shd w:fill="D0E2FF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9"/>
                <w:szCs w:val="19"/>
              </w:rPr>
              <w:t xml:space="preserve">Focus &amp; Key Deliverables</w:t>
            </w:r>
          </w:p>
        </w:tc>
        <w:tc>
          <w:tcPr>
            <w:tcW w:type="dxa" w:w="2808"/>
            <w:tcBorders>
              <w:top w:val="single" w:color="0F62FE" w:sz="6"/>
              <w:left w:val="single" w:color="E0E0E0" w:sz="2"/>
              <w:bottom w:val="single" w:color="0F62FE" w:sz="4"/>
              <w:right w:val="single" w:color="E0E0E0" w:sz="2"/>
            </w:tcBorders>
            <w:shd w:fill="D0E2FF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9"/>
                <w:szCs w:val="19"/>
              </w:rPr>
              <w:t xml:space="preserve">Value Signal</w:t>
            </w:r>
          </w:p>
        </w:tc>
      </w:tr>
      <w:tr>
        <w:tc>
          <w:tcPr>
            <w:tcW w:type="dxa" w:w="1404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Phase 0
Foundation</w:t>
            </w:r>
          </w:p>
        </w:tc>
        <w:tc>
          <w:tcPr>
            <w:tcW w:type="dxa" w:w="1029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0–8 weeks</w:t>
            </w:r>
          </w:p>
        </w:tc>
        <w:tc>
          <w:tcPr>
            <w:tcW w:type="dxa" w:w="4118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8"/>
                <w:szCs w:val="18"/>
              </w:rPr>
              <w:t xml:space="preserve">Telemetry onboarding  ·  Baseline measurement  ·  Transition plan  ·  AI environment setup  ·  Innovation council</w:t>
            </w:r>
          </w:p>
        </w:tc>
        <w:tc>
          <w:tcPr>
            <w:tcW w:type="dxa" w:w="2808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EBF2FF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8"/>
                <w:szCs w:val="18"/>
              </w:rPr>
              <w:t xml:space="preserve">Live dashboards; baselines locked; no disruption to BAU</w:t>
            </w:r>
          </w:p>
        </w:tc>
      </w:tr>
      <w:tr>
        <w:tc>
          <w:tcPr>
            <w:tcW w:type="dxa" w:w="1404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Phase 1
Ignite</w:t>
            </w:r>
          </w:p>
        </w:tc>
        <w:tc>
          <w:tcPr>
            <w:tcW w:type="dxa" w:w="1029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Month 1–3</w:t>
            </w:r>
          </w:p>
        </w:tc>
        <w:tc>
          <w:tcPr>
            <w:tcW w:type="dxa" w:w="4118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8"/>
                <w:szCs w:val="18"/>
              </w:rPr>
              <w:t xml:space="preserve">AIOps live  ·  P3/P4 self-heal pilots  ·  GenAI QE framework  ·  First AI-assisted dev sprints  ·  Quick-win automations</w:t>
            </w:r>
          </w:p>
        </w:tc>
        <w:tc>
          <w:tcPr>
            <w:tcW w:type="dxa" w:w="2808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EBF2FF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8"/>
                <w:szCs w:val="18"/>
              </w:rPr>
              <w:t xml:space="preserve">MTTR −20%  ·  First automation ROI  ·  QE coverage 45%</w:t>
            </w:r>
          </w:p>
        </w:tc>
      </w:tr>
      <w:tr>
        <w:tc>
          <w:tcPr>
            <w:tcW w:type="dxa" w:w="1404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Phase 2
Scale</w:t>
            </w:r>
          </w:p>
        </w:tc>
        <w:tc>
          <w:tcPr>
            <w:tcW w:type="dxa" w:w="1029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Month 3–6</w:t>
            </w:r>
          </w:p>
        </w:tc>
        <w:tc>
          <w:tcPr>
            <w:tcW w:type="dxa" w:w="4118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8"/>
                <w:szCs w:val="18"/>
              </w:rPr>
              <w:t xml:space="preserve">Agentic triage at scale  ·  Integration Hub Wave 1  ·  QE coverage 60%  ·  DataOps monitoring  ·  AI dev augmentation for all pods</w:t>
            </w:r>
          </w:p>
        </w:tc>
        <w:tc>
          <w:tcPr>
            <w:tcW w:type="dxa" w:w="2808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EBF2FF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8"/>
                <w:szCs w:val="18"/>
              </w:rPr>
              <w:t xml:space="preserve">Auto-resolve &gt;50%  ·  Defect escape −40%  ·  $3–5M cumulative value</w:t>
            </w:r>
          </w:p>
        </w:tc>
      </w:tr>
      <w:tr>
        <w:tc>
          <w:tcPr>
            <w:tcW w:type="dxa" w:w="1404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Phase 3
Optimize</w:t>
            </w:r>
          </w:p>
        </w:tc>
        <w:tc>
          <w:tcPr>
            <w:tcW w:type="dxa" w:w="1029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Month 6–12</w:t>
            </w:r>
          </w:p>
        </w:tc>
        <w:tc>
          <w:tcPr>
            <w:tcW w:type="dxa" w:w="4118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8"/>
                <w:szCs w:val="18"/>
              </w:rPr>
              <w:t xml:space="preserve">Autonomous ops for common patterns  ·  QE 80%+  ·  Continuous modernisation sprints  ·  Outcome governance live  ·  Full domain pod alignment</w:t>
            </w:r>
          </w:p>
        </w:tc>
        <w:tc>
          <w:tcPr>
            <w:tcW w:type="dxa" w:w="2808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EBF2FF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8"/>
                <w:szCs w:val="18"/>
              </w:rPr>
              <w:t xml:space="preserve">Cost takeout $6–10M  ·  MTTR &lt;1.8 hrs  ·  Availability 99.9%+</w:t>
            </w:r>
          </w:p>
        </w:tc>
      </w:tr>
      <w:tr>
        <w:tc>
          <w:tcPr>
            <w:tcW w:type="dxa" w:w="1404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Phase 4
Transform</w:t>
            </w:r>
          </w:p>
        </w:tc>
        <w:tc>
          <w:tcPr>
            <w:tcW w:type="dxa" w:w="1029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Year 1–2</w:t>
            </w:r>
          </w:p>
        </w:tc>
        <w:tc>
          <w:tcPr>
            <w:tcW w:type="dxa" w:w="4118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8"/>
                <w:szCs w:val="18"/>
              </w:rPr>
              <w:t xml:space="preserve">Full autonomy across estate  ·  Mainframe rehost/refactor  ·  Enterprise observability  ·  DataOps maturity  ·  Co-invest pipeline</w:t>
            </w:r>
          </w:p>
        </w:tc>
        <w:tc>
          <w:tcPr>
            <w:tcW w:type="dxa" w:w="2808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EBF2FF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8"/>
                <w:szCs w:val="18"/>
              </w:rPr>
              <w:t xml:space="preserve">Structural cost takeout 40–50%  ·  Total value $12–18M+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1"/>
          <w:szCs w:val="21"/>
        </w:rPr>
        <w:t xml:space="preserve">Outcome KPI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72"/>
            <w:tcBorders>
              <w:top w:val="single" w:color="0F62FE" w:sz="6"/>
              <w:left w:val="single" w:color="E0E0E0" w:sz="2"/>
              <w:bottom w:val="single" w:color="0F62FE" w:sz="4"/>
              <w:right w:val="single" w:color="E0E0E0" w:sz="2"/>
            </w:tcBorders>
            <w:shd w:fill="D0E2FF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9"/>
                <w:szCs w:val="19"/>
              </w:rPr>
              <w:t xml:space="preserve">Value Area</w:t>
            </w:r>
          </w:p>
        </w:tc>
        <w:tc>
          <w:tcPr>
            <w:tcW w:type="dxa" w:w="3369"/>
            <w:tcBorders>
              <w:top w:val="single" w:color="0F62FE" w:sz="6"/>
              <w:left w:val="single" w:color="E0E0E0" w:sz="2"/>
              <w:bottom w:val="single" w:color="0F62FE" w:sz="4"/>
              <w:right w:val="single" w:color="E0E0E0" w:sz="2"/>
            </w:tcBorders>
            <w:shd w:fill="D0E2FF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9"/>
                <w:szCs w:val="19"/>
              </w:rPr>
              <w:t xml:space="preserve">KPIs Tracked</w:t>
            </w:r>
          </w:p>
        </w:tc>
        <w:tc>
          <w:tcPr>
            <w:tcW w:type="dxa" w:w="2246"/>
            <w:tcBorders>
              <w:top w:val="single" w:color="0F62FE" w:sz="6"/>
              <w:left w:val="single" w:color="E0E0E0" w:sz="2"/>
              <w:bottom w:val="single" w:color="0F62FE" w:sz="4"/>
              <w:right w:val="single" w:color="E0E0E0" w:sz="2"/>
            </w:tcBorders>
            <w:shd w:fill="D0E2FF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9"/>
                <w:szCs w:val="19"/>
              </w:rPr>
              <w:t xml:space="preserve">Data Source</w:t>
            </w:r>
          </w:p>
        </w:tc>
        <w:tc>
          <w:tcPr>
            <w:tcW w:type="dxa" w:w="1872"/>
            <w:tcBorders>
              <w:top w:val="single" w:color="0F62FE" w:sz="6"/>
              <w:left w:val="single" w:color="E0E0E0" w:sz="2"/>
              <w:bottom w:val="single" w:color="0F62FE" w:sz="4"/>
              <w:right w:val="single" w:color="E0E0E0" w:sz="2"/>
            </w:tcBorders>
            <w:shd w:fill="D0E2FF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9"/>
                <w:szCs w:val="19"/>
              </w:rPr>
              <w:t xml:space="preserve">Reporting Cadence</w:t>
            </w:r>
          </w:p>
        </w:tc>
      </w:tr>
      <w:tr>
        <w:tc>
          <w:tcPr>
            <w:tcW w:type="dxa" w:w="1872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61616"/>
                <w:sz w:val="19"/>
                <w:szCs w:val="19"/>
              </w:rPr>
              <w:t xml:space="preserve">Operational Excellence</w:t>
            </w:r>
          </w:p>
        </w:tc>
        <w:tc>
          <w:tcPr>
            <w:tcW w:type="dxa" w:w="3369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MTTR, availability, incident volume, auto-resolution %</w:t>
            </w:r>
          </w:p>
        </w:tc>
        <w:tc>
          <w:tcPr>
            <w:tcW w:type="dxa" w:w="2246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ITSM + AIOps telemetry</w:t>
            </w:r>
          </w:p>
        </w:tc>
        <w:tc>
          <w:tcPr>
            <w:tcW w:type="dxa" w:w="1872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EBF2FF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9"/>
                <w:szCs w:val="19"/>
              </w:rPr>
              <w:t xml:space="preserve">Weekly</w:t>
            </w:r>
          </w:p>
        </w:tc>
      </w:tr>
      <w:tr>
        <w:tc>
          <w:tcPr>
            <w:tcW w:type="dxa" w:w="1872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61616"/>
                <w:sz w:val="19"/>
                <w:szCs w:val="19"/>
              </w:rPr>
              <w:t xml:space="preserve">Cost &amp; Productivity</w:t>
            </w:r>
          </w:p>
        </w:tc>
        <w:tc>
          <w:tcPr>
            <w:tcW w:type="dxa" w:w="3369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Automation ROI, demand reduction, delivery velocity</w:t>
            </w:r>
          </w:p>
        </w:tc>
        <w:tc>
          <w:tcPr>
            <w:tcW w:type="dxa" w:w="2246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Finance + ITSM</w:t>
            </w:r>
          </w:p>
        </w:tc>
        <w:tc>
          <w:tcPr>
            <w:tcW w:type="dxa" w:w="1872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EBF2FF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9"/>
                <w:szCs w:val="19"/>
              </w:rPr>
              <w:t xml:space="preserve">Monthly</w:t>
            </w:r>
          </w:p>
        </w:tc>
      </w:tr>
      <w:tr>
        <w:tc>
          <w:tcPr>
            <w:tcW w:type="dxa" w:w="1872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61616"/>
                <w:sz w:val="19"/>
                <w:szCs w:val="19"/>
              </w:rPr>
              <w:t xml:space="preserve">Quality Engineering</w:t>
            </w:r>
          </w:p>
        </w:tc>
        <w:tc>
          <w:tcPr>
            <w:tcW w:type="dxa" w:w="3369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Coverage, defect escape rate, regression time, MTTD</w:t>
            </w:r>
          </w:p>
        </w:tc>
        <w:tc>
          <w:tcPr>
            <w:tcW w:type="dxa" w:w="2246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QE toolchain + CI/CD</w:t>
            </w:r>
          </w:p>
        </w:tc>
        <w:tc>
          <w:tcPr>
            <w:tcW w:type="dxa" w:w="1872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EBF2FF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9"/>
                <w:szCs w:val="19"/>
              </w:rPr>
              <w:t xml:space="preserve">Per sprint</w:t>
            </w:r>
          </w:p>
        </w:tc>
      </w:tr>
      <w:tr>
        <w:tc>
          <w:tcPr>
            <w:tcW w:type="dxa" w:w="1872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61616"/>
                <w:sz w:val="19"/>
                <w:szCs w:val="19"/>
              </w:rPr>
              <w:t xml:space="preserve">Platform &amp; Modernisation</w:t>
            </w:r>
          </w:p>
        </w:tc>
        <w:tc>
          <w:tcPr>
            <w:tcW w:type="dxa" w:w="3369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n-1 compliance, debt index, upgrade velocity, CVE remediation</w:t>
            </w:r>
          </w:p>
        </w:tc>
        <w:tc>
          <w:tcPr>
            <w:tcW w:type="dxa" w:w="2246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CMDB + security scans</w:t>
            </w:r>
          </w:p>
        </w:tc>
        <w:tc>
          <w:tcPr>
            <w:tcW w:type="dxa" w:w="1872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EBF2FF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9"/>
                <w:szCs w:val="19"/>
              </w:rPr>
              <w:t xml:space="preserve">Monthly</w:t>
            </w:r>
          </w:p>
        </w:tc>
      </w:tr>
      <w:tr>
        <w:tc>
          <w:tcPr>
            <w:tcW w:type="dxa" w:w="1872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61616"/>
                <w:sz w:val="19"/>
                <w:szCs w:val="19"/>
              </w:rPr>
              <w:t xml:space="preserve">Business Outcomes</w:t>
            </w:r>
          </w:p>
        </w:tc>
        <w:tc>
          <w:tcPr>
            <w:tcW w:type="dxa" w:w="3369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Claims cycle, enrollment time, first-call resolution, ASA</w:t>
            </w:r>
          </w:p>
        </w:tc>
        <w:tc>
          <w:tcPr>
            <w:tcW w:type="dxa" w:w="2246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8"/>
                <w:szCs w:val="18"/>
              </w:rPr>
              <w:t xml:space="preserve">Domain dashboards</w:t>
            </w:r>
          </w:p>
        </w:tc>
        <w:tc>
          <w:tcPr>
            <w:tcW w:type="dxa" w:w="1872"/>
            <w:tcBorders>
              <w:top w:val="single" w:color="E0E0E0" w:sz="2"/>
              <w:left w:val="single" w:color="E0E0E0" w:sz="2"/>
              <w:bottom w:val="single" w:color="E0E0E0" w:sz="2"/>
              <w:right w:val="single" w:color="E0E0E0" w:sz="2"/>
            </w:tcBorders>
            <w:shd w:fill="EBF2FF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9"/>
                <w:szCs w:val="19"/>
              </w:rPr>
              <w:t xml:space="preserve">Monthly</w:t>
            </w:r>
          </w:p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4" w:space="6"/>
        </w:pBdr>
        <w:spacing w:after="20" w:before="240"/>
      </w:pPr>
    </w:p>
    <w:p>
      <w:pPr>
        <w:spacing w:after="20" w:before="2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6"/>
          <w:szCs w:val="16"/>
        </w:rPr>
        <w:t xml:space="preserve">9.0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01141"/>
          <w:sz w:val="26"/>
          <w:szCs w:val="26"/>
        </w:rPr>
        <w:t xml:space="preserve">WHY IBM — AND WHY NOW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8D8D8D"/>
          <w:sz w:val="19"/>
          <w:szCs w:val="19"/>
        </w:rPr>
        <w:t xml:space="preserve">   The depth, the assets, and the accountability to deliver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340"/>
            <w:tcBorders>
              <w:top w:val="single" w:color="0F62FE" w:sz="8"/>
              <w:left w:val="single" w:color="E0E0E0" w:sz="2"/>
              <w:bottom w:val="single" w:color="E0E0E0" w:sz="2"/>
              <w:right w:val="single" w:color="E0E0E0" w:sz="2"/>
            </w:tcBorders>
            <w:shd w:fill="EBF2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48"/>
                <w:szCs w:val="48"/>
              </w:rPr>
              <w:t xml:space="preserve">20,000+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AI &amp; Data Practitioners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25252"/>
                <w:sz w:val="16"/>
                <w:szCs w:val="16"/>
              </w:rPr>
              <w:t xml:space="preserve">dedicated globally</w:t>
            </w:r>
          </w:p>
        </w:tc>
        <w:tc>
          <w:tcPr>
            <w:tcW w:type="dxa" w:w="2340"/>
            <w:tcBorders>
              <w:top w:val="single" w:color="0F62FE" w:sz="8"/>
              <w:left w:val="single" w:color="E0E0E0" w:sz="2"/>
              <w:bottom w:val="single" w:color="E0E0E0" w:sz="2"/>
              <w:right w:val="single" w:color="E0E0E0" w:sz="2"/>
            </w:tcBorders>
            <w:shd w:fill="EBF2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48"/>
                <w:szCs w:val="48"/>
              </w:rPr>
              <w:t xml:space="preserve">81,000+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Cloud &amp; Architecture Experts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25252"/>
                <w:sz w:val="16"/>
                <w:szCs w:val="16"/>
              </w:rPr>
              <w:t xml:space="preserve">across IBM Consulting</w:t>
            </w:r>
          </w:p>
        </w:tc>
        <w:tc>
          <w:tcPr>
            <w:tcW w:type="dxa" w:w="2340"/>
            <w:tcBorders>
              <w:top w:val="single" w:color="0F62FE" w:sz="8"/>
              <w:left w:val="single" w:color="E0E0E0" w:sz="2"/>
              <w:bottom w:val="single" w:color="E0E0E0" w:sz="2"/>
              <w:right w:val="single" w:color="E0E0E0" w:sz="2"/>
            </w:tcBorders>
            <w:shd w:fill="EBF2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48"/>
                <w:szCs w:val="48"/>
              </w:rPr>
              <w:t xml:space="preserve">40,000+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AI/Analytics Engagements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25252"/>
                <w:sz w:val="16"/>
                <w:szCs w:val="16"/>
              </w:rPr>
              <w:t xml:space="preserve">delivered for clients worldwide</w:t>
            </w:r>
          </w:p>
        </w:tc>
        <w:tc>
          <w:tcPr>
            <w:tcW w:type="dxa" w:w="2340"/>
            <w:tcBorders>
              <w:top w:val="single" w:color="0F62FE" w:sz="8"/>
              <w:left w:val="single" w:color="E0E0E0" w:sz="2"/>
              <w:bottom w:val="single" w:color="E0E0E0" w:sz="2"/>
              <w:right w:val="single" w:color="E0E0E0" w:sz="2"/>
            </w:tcBorders>
            <w:shd w:fill="EBF2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48"/>
                <w:szCs w:val="48"/>
              </w:rPr>
              <w:t xml:space="preserve">9 of 10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18"/>
                <w:szCs w:val="18"/>
              </w:rPr>
              <w:t xml:space="preserve">Top US Health Payers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525252"/>
                <w:sz w:val="16"/>
                <w:szCs w:val="16"/>
              </w:rPr>
              <w:t xml:space="preserve">served by IBM Consulting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righ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What Makes IBM Different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1"/>
                <w:szCs w:val="21"/>
              </w:rPr>
              <w:t xml:space="preserve">Production-Grade Assets, Day 1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IBM AIOps, ICA, CareOps360, GenAI Quality Engine, and IBM Consulting Advantage are live — not promised. They are running in production at comparable payers today.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1"/>
                <w:szCs w:val="21"/>
              </w:rPr>
              <w:t xml:space="preserve">Deep Horizon Knowledge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IBM brings institutional knowledge of Horizon's application estate, processes, and change history — reducing transition risk to near-zero and accelerating Phase 0.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1"/>
                <w:szCs w:val="21"/>
              </w:rPr>
              <w:t xml:space="preserve">Healthcare Payer DNA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Claims, enrollment, prior authorisation, member services — IBM has modernised these domains for the nation's largest payers. The patterns are proven; the risk is lower.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1"/>
                <w:szCs w:val="21"/>
              </w:rPr>
              <w:t xml:space="preserve">Shared Risk, Shared Reward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IBM commits to outcome-based SLAs. Targets missed trigger IBM remediation plans — not contract renegotiations. This is accountability, not aspiration.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21"/>
                <w:szCs w:val="21"/>
              </w:rPr>
              <w:t xml:space="preserve">Innovation Without Extra Cost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525252"/>
                <w:sz w:val="19"/>
                <w:szCs w:val="19"/>
              </w:rPr>
              <w:t xml:space="preserve">Innovation sprints, AI tooling, and accelerators are embedded in the base model. Horizon does not pay for transformation separately from delivery.</w:t>
            </w:r>
          </w:p>
        </w:tc>
        <w:tc>
          <w:tcPr>
            <w:tcW w:type="dxa" w:w="37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</w:tc>
        <w:tc>
          <w:tcPr>
            <w:tcW w:type="dxa" w:w="4493"/>
            <w:tcBorders>
              <w:top w:val="none"/>
              <w:left w:val="none"/>
              <w:bottom w:val="none"/>
              <w:right w:val="none"/>
            </w:tcBorders>
            <w:tcMar>
              <w:lef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IBM vs. The Alternative</w:t>
            </w:r>
          </w:p>
          <w:tbl>
            <w:tblPr>
              <w:tblW w:type="dxa" w:w="449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1498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Dimension</w:t>
                  </w:r>
                </w:p>
              </w:tc>
              <w:tc>
                <w:tcPr>
                  <w:tcW w:type="dxa" w:w="1498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Status Quo</w:t>
                  </w:r>
                </w:p>
              </w:tc>
              <w:tc>
                <w:tcPr>
                  <w:tcW w:type="dxa" w:w="1498"/>
                  <w:tcBorders>
                    <w:top w:val="single" w:color="0F62FE" w:sz="6"/>
                    <w:left w:val="single" w:color="E0E0E0" w:sz="2"/>
                    <w:bottom w:val="single" w:color="0F62FE" w:sz="4"/>
                    <w:right w:val="single" w:color="E0E0E0" w:sz="2"/>
                  </w:tcBorders>
                  <w:shd w:fill="D0E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01141"/>
                      <w:sz w:val="19"/>
                      <w:szCs w:val="19"/>
                    </w:rPr>
                    <w:t xml:space="preserve">IBM</w:t>
                  </w:r>
                </w:p>
              </w:tc>
            </w:tr>
            <w:tr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Model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Tower-based, reactive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Unified pods, AI-first</w:t>
                  </w:r>
                </w:p>
              </w:tc>
            </w:tr>
            <w:tr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Dev Velocity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Manual pipelines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AI-assisted, 25–40% faster</w:t>
                  </w:r>
                </w:p>
              </w:tc>
            </w:tr>
            <w:tr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Quality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End-of-sprint testing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Shift-left, GenAI coverage</w:t>
                  </w:r>
                </w:p>
              </w:tc>
            </w:tr>
            <w:tr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Operations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Firefighting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Self-healing, zero-touch</w:t>
                  </w:r>
                </w:p>
              </w:tc>
            </w:tr>
            <w:tr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Reporting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Activity metrics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Business outcome KPIs</w:t>
                  </w:r>
                </w:p>
              </w:tc>
            </w:tr>
            <w:tr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161616"/>
                      <w:sz w:val="18"/>
                      <w:szCs w:val="18"/>
                    </w:rPr>
                    <w:t xml:space="preserve">Risk model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DA1E28"/>
                      <w:sz w:val="18"/>
                      <w:szCs w:val="18"/>
                    </w:rPr>
                    <w:t xml:space="preserve">Vendor bears none</w:t>
                  </w:r>
                </w:p>
              </w:tc>
              <w:tc>
                <w:tcPr>
                  <w:tcW w:type="dxa" w:w="1498"/>
                  <w:tcBorders>
                    <w:top w:val="single" w:color="E0E0E0" w:sz="2"/>
                    <w:left w:val="single" w:color="E0E0E0" w:sz="2"/>
                    <w:bottom w:val="single" w:color="E0E0E0" w:sz="2"/>
                    <w:right w:val="single" w:color="E0E0E0" w:sz="2"/>
                  </w:tcBorders>
                  <w:shd w:fill="EBF2FF" w:val="solid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0F62FE"/>
                      <w:sz w:val="18"/>
                      <w:szCs w:val="18"/>
                    </w:rPr>
                    <w:t xml:space="preserve">Shared; outcome-SLA driven</w:t>
                  </w:r>
                </w:p>
              </w:tc>
            </w:tr>
          </w:tbl>
          <w:p>
            <w:pPr>
              <w:spacing w:after="1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21"/>
                <w:szCs w:val="21"/>
              </w:rPr>
              <w:t xml:space="preserve"/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1141"/>
                <w:sz w:val="21"/>
                <w:szCs w:val="21"/>
              </w:rPr>
              <w:t xml:space="preserve">The Next Three Steps</w:t>
            </w:r>
          </w:p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9"/>
                <w:szCs w:val="19"/>
              </w:rPr>
              <w:t xml:space="preserve">Week 1–2: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9"/>
                <w:szCs w:val="19"/>
              </w:rPr>
              <w:t xml:space="preserve">Executive alignment session — Horizon leadership + IBM account team. Agree objectives, scope, and governance structure.</w:t>
            </w:r>
          </w:p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9"/>
                <w:szCs w:val="19"/>
              </w:rPr>
              <w:t xml:space="preserve">Week 2–4: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9"/>
                <w:szCs w:val="19"/>
              </w:rPr>
              <w:t xml:space="preserve">Phase 0 SOW agreed. Telemetry onboarding begins. Baseline discovery kicks off. Innovation council constituted.</w:t>
            </w:r>
          </w:p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F62FE"/>
                <w:sz w:val="19"/>
                <w:szCs w:val="19"/>
              </w:rPr>
              <w:t xml:space="preserve">Week 4: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61616"/>
                <w:sz w:val="19"/>
                <w:szCs w:val="19"/>
              </w:rPr>
              <w:t xml:space="preserve">Contractual milestone: Phase 0 live. IBM and Horizon operating as one team from Day 1.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p>
      <w:pPr>
        <w:pBdr>
          <w:bottom w:val="single" w:color="0F62FE" w:sz="8" w:space="3"/>
        </w:pBdr>
        <w:spacing w:after="100" w:before="100"/>
      </w:pP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61616"/>
          <w:sz w:val="21"/>
          <w:szCs w:val="21"/>
        </w:rPr>
        <w:t xml:space="preserve"/>
      </w:r>
    </w:p>
    <w:p>
      <w:pPr>
        <w:spacing w:after="80" w:before="80"/>
        <w:ind w:left="431" w:right="431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61616"/>
          <w:sz w:val="22"/>
          <w:szCs w:val="22"/>
        </w:rPr>
        <w:t xml:space="preserve">“IBM’s measure of success is not tickets closed or servers managed. It is </w:t>
      </w:r>
      <w:r>
        <w:rPr>
          <w:rFonts w:ascii="Calibri" w:cs="Calibri" w:eastAsia="Calibri" w:hAnsi="Calibri"/>
          <w:b/>
          <w:bCs/>
          <w:i/>
          <w:iCs/>
          <w:caps w:val="false"/>
          <w:color w:val="001141"/>
          <w:sz w:val="22"/>
          <w:szCs w:val="22"/>
        </w:rPr>
        <w:t xml:space="preserve">outcomes delivered and sustained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61616"/>
          <w:sz w:val="22"/>
          <w:szCs w:val="22"/>
        </w:rPr>
        <w:t xml:space="preserve"> — faster development, higher quality, resilient operations, and measurable cost takeout for Horizon. That is the only number that matters.”</w:t>
      </w:r>
    </w:p>
    <w:p>
      <w:pPr>
        <w:spacing w:after="200" w:before="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62FE"/>
          <w:sz w:val="19"/>
          <w:szCs w:val="19"/>
        </w:rPr>
        <w:t xml:space="preserve">— IBM Consulting, Healthcare &amp; Payer Delivery  |  April 2026</w:t>
      </w:r>
    </w:p>
    <w:p>
      <w:pPr>
        <w:pBdr>
          <w:bottom w:val="single" w:color="E0E0E0" w:sz="2" w:space="3"/>
        </w:pBdr>
        <w:spacing w:after="80" w:before="80"/>
      </w:pP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8D8D8D"/>
          <w:sz w:val="15"/>
          <w:szCs w:val="15"/>
        </w:rPr>
        <w:t xml:space="preserve">© 2026 IBM Corporation. All rights reserved.  Confidential — prepared exclusively for Horizon Healthcare Services.  Ref: IBM-HZN-AMS-RFP-2026-CAS</w:t>
      </w:r>
    </w:p>
    <w:sectPr>
      <w:headerReference w:type="default" r:id="rId7"/>
      <w:footerReference w:type="default" r:id="rId8"/>
      <w:pgSz w:w="11906" w:h="16838" w:orient="portrait"/>
      <w:pgMar w:top="1224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3"/>
      </w:pBdr>
      <w:spacing w:before="60"/>
    </w:pPr>
    <w:r>
      <w:rPr>
        <w:rFonts w:ascii="Calibri" w:cs="Calibri" w:eastAsia="Calibri" w:hAnsi="Calibri"/>
        <w:b/>
        <w:bCs/>
        <w:i w:val="false"/>
        <w:iCs w:val="false"/>
        <w:caps w:val="false"/>
        <w:color w:val="0F62FE"/>
        <w:sz w:val="15"/>
        <w:szCs w:val="15"/>
      </w:rPr>
      <w:t xml:space="preserve">CareOps360  ·  IBM AIOps  ·  IBM Consulting Advantage  ·  ICA</w:t>
    </w:r>
    <w:r>
      <w:rPr>
        <w:rFonts w:ascii="Calibri" w:cs="Calibri" w:eastAsia="Calibri" w:hAnsi="Calibri"/>
        <w:b w:val="false"/>
        <w:bCs w:val="false"/>
        <w:i w:val="false"/>
        <w:iCs w:val="false"/>
        <w:caps w:val="false"/>
        <w:color w:val="8D8D8D"/>
        <w:sz w:val="15"/>
        <w:szCs w:val="15"/>
      </w:rPr>
      <w:t xml:space="preserve">   |   © 2026 IBM Corporation   | 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4"/>
      </w:pBdr>
      <w:jc w:val="right"/>
    </w:pPr>
    <w:r>
      <w:rPr>
        <w:rFonts w:ascii="Calibri" w:cs="Calibri" w:eastAsia="Calibri" w:hAnsi="Calibri"/>
        <w:b/>
        <w:bCs/>
        <w:i w:val="false"/>
        <w:iCs w:val="false"/>
        <w:caps/>
        <w:color w:val="8D8D8D"/>
        <w:sz w:val="15"/>
        <w:szCs w:val="15"/>
      </w:rPr>
      <w:t xml:space="preserve">IBM × HORIZON BCBS  |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aps w:val="false"/>
        <w:color w:val="0F62FE"/>
        <w:sz w:val="15"/>
        <w:szCs w:val="15"/>
      </w:rPr>
      <w:t xml:space="preserve">   — 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IBM × Horizon BCBS — Application Delivery &amp; Operations Transformation</dc:title>
  <dc:creator>IBM Consulting</dc:creator>
  <dc:description>Confidential — April 2026</dc:description>
  <cp:lastModifiedBy>Un-named</cp:lastModifiedBy>
  <cp:revision>1</cp:revision>
  <dcterms:created xsi:type="dcterms:W3CDTF">2026-04-16T03:51:53.574Z</dcterms:created>
  <dcterms:modified xsi:type="dcterms:W3CDTF">2026-04-16T03:51:53.575Z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