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001141" w:val="solid"/>
        <w:spacing w:after="280" w:before="280"/>
        <w:jc w:val="center"/>
      </w:pPr>
      <w:r>
        <w:rPr>
          <w:rFonts w:ascii="Calibri" w:cs="Calibri" w:eastAsia="Calibri" w:hAnsi="Calibri"/>
          <w:b/>
          <w:bCs/>
          <w:i w:val="false"/>
          <w:iCs w:val="false"/>
          <w:color w:val="FFFFFF"/>
          <w:sz w:val="17"/>
          <w:szCs w:val="17"/>
        </w:rPr>
        <w:t xml:space="preserve">IBM CONSULTING   |   HEALTHCARE &amp; PAYER DELIVERY</w:t>
      </w:r>
    </w:p>
    <w:p>
      <w:pPr>
        <w:shd w:fill="0F62FE" w:val="solid"/>
        <w:spacing w:after="40" w:before="0"/>
      </w:pPr>
    </w:p>
    <w:p>
      <w:pPr>
        <w:spacing w:after="600" w:before="0"/>
      </w:pPr>
      <w:r>
        <w:rPr>
          <w:rFonts w:ascii="Calibri" w:cs="Calibri" w:eastAsia="Calibri" w:hAnsi="Calibri"/>
          <w:b w:val="false"/>
          <w:bCs w:val="false"/>
          <w:i w:val="false"/>
          <w:iCs w:val="false"/>
          <w:color w:val="161616"/>
          <w:sz w:val="21"/>
          <w:szCs w:val="21"/>
        </w:rPr>
        <w:t xml:space="preserve"/>
      </w:r>
    </w:p>
    <w:p>
      <w:pPr>
        <w:spacing w:after="120" w:before="0"/>
        <w:ind w:right="1584"/>
        <w:jc w:val="right"/>
      </w:pPr>
      <w:r>
        <w:rPr>
          <w:rFonts w:ascii="Calibri" w:cs="Calibri" w:eastAsia="Calibri" w:hAnsi="Calibri"/>
          <w:b/>
          <w:bCs/>
          <w:i w:val="false"/>
          <w:iCs w:val="false"/>
          <w:color w:val="0F62FE"/>
          <w:sz w:val="16"/>
          <w:szCs w:val="16"/>
        </w:rPr>
        <w:t xml:space="preserve">CONFIDENTIAL  |  APRIL 2026</w:t>
      </w:r>
    </w:p>
    <w:p>
      <w:pPr>
        <w:spacing w:after="80" w:before="0"/>
        <w:ind w:left="1584"/>
      </w:pPr>
      <w:r>
        <w:rPr>
          <w:rFonts w:ascii="Calibri" w:cs="Calibri" w:eastAsia="Calibri" w:hAnsi="Calibri"/>
          <w:b/>
          <w:bCs/>
          <w:i w:val="false"/>
          <w:iCs w:val="false"/>
          <w:color w:val="0F62FE"/>
          <w:sz w:val="20"/>
          <w:szCs w:val="20"/>
        </w:rPr>
        <w:t xml:space="preserve">IBM × HORIZON BLUE CROSS BLUE SHIELD OF NEW JERSEY</w:t>
      </w:r>
    </w:p>
    <w:p>
      <w:pPr>
        <w:spacing w:after="0" w:before="0"/>
        <w:ind w:left="1584"/>
      </w:pPr>
      <w:r>
        <w:rPr>
          <w:rFonts w:ascii="Calibri" w:cs="Calibri" w:eastAsia="Calibri" w:hAnsi="Calibri"/>
          <w:b/>
          <w:bCs/>
          <w:i w:val="false"/>
          <w:iCs w:val="false"/>
          <w:color w:val="001141"/>
          <w:sz w:val="64"/>
          <w:szCs w:val="64"/>
        </w:rPr>
        <w:t xml:space="preserve">Application Delivery,</w:t>
      </w:r>
    </w:p>
    <w:p>
      <w:pPr>
        <w:spacing w:after="0" w:before="0"/>
        <w:ind w:left="1584"/>
      </w:pPr>
      <w:r>
        <w:rPr>
          <w:rFonts w:ascii="Calibri" w:cs="Calibri" w:eastAsia="Calibri" w:hAnsi="Calibri"/>
          <w:b/>
          <w:bCs/>
          <w:i w:val="false"/>
          <w:iCs w:val="false"/>
          <w:color w:val="001141"/>
          <w:sz w:val="64"/>
          <w:szCs w:val="64"/>
        </w:rPr>
        <w:t xml:space="preserve">Quality Engineering &amp;</w:t>
      </w:r>
    </w:p>
    <w:p>
      <w:pPr>
        <w:spacing w:after="80" w:before="0"/>
        <w:ind w:left="1584"/>
      </w:pPr>
      <w:r>
        <w:rPr>
          <w:rFonts w:ascii="Calibri" w:cs="Calibri" w:eastAsia="Calibri" w:hAnsi="Calibri"/>
          <w:b/>
          <w:bCs/>
          <w:i w:val="false"/>
          <w:iCs w:val="false"/>
          <w:color w:val="0F62FE"/>
          <w:sz w:val="64"/>
          <w:szCs w:val="64"/>
        </w:rPr>
        <w:t xml:space="preserve">Operations Transformation</w:t>
      </w:r>
    </w:p>
    <w:p>
      <w:pPr>
        <w:spacing w:after="360" w:before="0"/>
        <w:ind w:left="1584"/>
      </w:pPr>
      <w:r>
        <w:rPr>
          <w:rFonts w:ascii="Calibri" w:cs="Calibri" w:eastAsia="Calibri" w:hAnsi="Calibri"/>
          <w:b w:val="false"/>
          <w:bCs w:val="false"/>
          <w:i/>
          <w:iCs/>
          <w:color w:val="525252"/>
          <w:sz w:val="24"/>
          <w:szCs w:val="24"/>
        </w:rPr>
        <w:t xml:space="preserve">AI-First  ·  Business-Led  ·  Zero-Touch Delivery  ·  Member-Centred</w:t>
      </w:r>
    </w:p>
    <w:tbl>
      <w:tblPr>
        <w:tblW w:type="dxa" w:w="95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tcW w:type="dxa" w:w="2380"/>
            <w:tcBorders>
              <w:top w:val="single" w:color="0F62FE" w:sz="8"/>
              <w:left w:val="single" w:color="E0E0E0" w:sz="2"/>
              <w:bottom w:val="single" w:color="E0E0E0" w:sz="2"/>
              <w:right w:val="single" w:color="E0E0E0" w:sz="2"/>
            </w:tcBorders>
            <w:shd w:fill="EBF2FF" w:val="solid"/>
            <w:tcMar>
              <w:top w:type="dxa" w:w="80"/>
              <w:left w:type="dxa" w:w="120"/>
              <w:bottom w:type="dxa" w:w="80"/>
              <w:right w:type="dxa" w:w="120"/>
            </w:tcMar>
          </w:tcPr>
          <w:p>
            <w:pPr>
              <w:spacing w:after="40" w:before="160"/>
              <w:jc w:val="center"/>
            </w:pPr>
            <w:r>
              <w:rPr>
                <w:rFonts w:ascii="Calibri" w:cs="Calibri" w:eastAsia="Calibri" w:hAnsi="Calibri"/>
                <w:b/>
                <w:bCs/>
                <w:i w:val="false"/>
                <w:iCs w:val="false"/>
                <w:color w:val="0F62FE"/>
                <w:sz w:val="44"/>
                <w:szCs w:val="44"/>
              </w:rPr>
              <w:t xml:space="preserve">40–50%</w:t>
            </w:r>
          </w:p>
          <w:p>
            <w:pPr>
              <w:spacing w:after="40" w:before="0"/>
              <w:jc w:val="center"/>
            </w:pPr>
            <w:r>
              <w:rPr>
                <w:rFonts w:ascii="Calibri" w:cs="Calibri" w:eastAsia="Calibri" w:hAnsi="Calibri"/>
                <w:b/>
                <w:bCs/>
                <w:i w:val="false"/>
                <w:iCs w:val="false"/>
                <w:color w:val="001141"/>
                <w:sz w:val="18"/>
                <w:szCs w:val="18"/>
              </w:rPr>
              <w:t xml:space="preserve">Cost Takeout</w:t>
            </w:r>
          </w:p>
          <w:p>
            <w:pPr>
              <w:spacing w:after="160" w:before="0"/>
              <w:jc w:val="center"/>
            </w:pPr>
            <w:r>
              <w:rPr>
                <w:rFonts w:ascii="Calibri" w:cs="Calibri" w:eastAsia="Calibri" w:hAnsi="Calibri"/>
                <w:b w:val="false"/>
                <w:bCs w:val="false"/>
                <w:i/>
                <w:iCs/>
                <w:color w:val="525252"/>
                <w:sz w:val="16"/>
                <w:szCs w:val="16"/>
              </w:rPr>
              <w:t xml:space="preserve">vs. current operational run-rate</w:t>
            </w:r>
          </w:p>
        </w:tc>
        <w:tc>
          <w:tcPr>
            <w:tcW w:type="dxa" w:w="2380"/>
            <w:tcBorders>
              <w:top w:val="single" w:color="0F62FE" w:sz="8"/>
              <w:left w:val="single" w:color="E0E0E0" w:sz="2"/>
              <w:bottom w:val="single" w:color="E0E0E0" w:sz="2"/>
              <w:right w:val="single" w:color="E0E0E0" w:sz="2"/>
            </w:tcBorders>
            <w:shd w:fill="EBF2FF" w:val="solid"/>
            <w:tcMar>
              <w:top w:type="dxa" w:w="80"/>
              <w:left w:type="dxa" w:w="120"/>
              <w:bottom w:type="dxa" w:w="80"/>
              <w:right w:type="dxa" w:w="120"/>
            </w:tcMar>
          </w:tcPr>
          <w:p>
            <w:pPr>
              <w:spacing w:after="40" w:before="160"/>
              <w:jc w:val="center"/>
            </w:pPr>
            <w:r>
              <w:rPr>
                <w:rFonts w:ascii="Calibri" w:cs="Calibri" w:eastAsia="Calibri" w:hAnsi="Calibri"/>
                <w:b/>
                <w:bCs/>
                <w:i w:val="false"/>
                <w:iCs w:val="false"/>
                <w:color w:val="0F62FE"/>
                <w:sz w:val="44"/>
                <w:szCs w:val="44"/>
              </w:rPr>
              <w:t xml:space="preserve">25–40%</w:t>
            </w:r>
          </w:p>
          <w:p>
            <w:pPr>
              <w:spacing w:after="40" w:before="0"/>
              <w:jc w:val="center"/>
            </w:pPr>
            <w:r>
              <w:rPr>
                <w:rFonts w:ascii="Calibri" w:cs="Calibri" w:eastAsia="Calibri" w:hAnsi="Calibri"/>
                <w:b/>
                <w:bCs/>
                <w:i w:val="false"/>
                <w:iCs w:val="false"/>
                <w:color w:val="001141"/>
                <w:sz w:val="18"/>
                <w:szCs w:val="18"/>
              </w:rPr>
              <w:t xml:space="preserve">Faster Time to Market</w:t>
            </w:r>
          </w:p>
          <w:p>
            <w:pPr>
              <w:spacing w:after="160" w:before="0"/>
              <w:jc w:val="center"/>
            </w:pPr>
            <w:r>
              <w:rPr>
                <w:rFonts w:ascii="Calibri" w:cs="Calibri" w:eastAsia="Calibri" w:hAnsi="Calibri"/>
                <w:b w:val="false"/>
                <w:bCs w:val="false"/>
                <w:i/>
                <w:iCs/>
                <w:color w:val="525252"/>
                <w:sz w:val="16"/>
                <w:szCs w:val="16"/>
              </w:rPr>
              <w:t xml:space="preserve">across development &amp; change</w:t>
            </w:r>
          </w:p>
        </w:tc>
        <w:tc>
          <w:tcPr>
            <w:tcW w:type="dxa" w:w="2380"/>
            <w:tcBorders>
              <w:top w:val="single" w:color="0F62FE" w:sz="8"/>
              <w:left w:val="single" w:color="E0E0E0" w:sz="2"/>
              <w:bottom w:val="single" w:color="E0E0E0" w:sz="2"/>
              <w:right w:val="single" w:color="E0E0E0" w:sz="2"/>
            </w:tcBorders>
            <w:shd w:fill="EBF2FF" w:val="solid"/>
            <w:tcMar>
              <w:top w:type="dxa" w:w="80"/>
              <w:left w:type="dxa" w:w="120"/>
              <w:bottom w:type="dxa" w:w="80"/>
              <w:right w:type="dxa" w:w="120"/>
            </w:tcMar>
          </w:tcPr>
          <w:p>
            <w:pPr>
              <w:spacing w:after="40" w:before="160"/>
              <w:jc w:val="center"/>
            </w:pPr>
            <w:r>
              <w:rPr>
                <w:rFonts w:ascii="Calibri" w:cs="Calibri" w:eastAsia="Calibri" w:hAnsi="Calibri"/>
                <w:b/>
                <w:bCs/>
                <w:i w:val="false"/>
                <w:iCs w:val="false"/>
                <w:color w:val="0F62FE"/>
                <w:sz w:val="44"/>
                <w:szCs w:val="44"/>
              </w:rPr>
              <w:t xml:space="preserve">&gt;74%</w:t>
            </w:r>
          </w:p>
          <w:p>
            <w:pPr>
              <w:spacing w:after="40" w:before="0"/>
              <w:jc w:val="center"/>
            </w:pPr>
            <w:r>
              <w:rPr>
                <w:rFonts w:ascii="Calibri" w:cs="Calibri" w:eastAsia="Calibri" w:hAnsi="Calibri"/>
                <w:b/>
                <w:bCs/>
                <w:i w:val="false"/>
                <w:iCs w:val="false"/>
                <w:color w:val="001141"/>
                <w:sz w:val="18"/>
                <w:szCs w:val="18"/>
              </w:rPr>
              <w:t xml:space="preserve">Incidents Auto-Resolved</w:t>
            </w:r>
          </w:p>
          <w:p>
            <w:pPr>
              <w:spacing w:after="160" w:before="0"/>
              <w:jc w:val="center"/>
            </w:pPr>
            <w:r>
              <w:rPr>
                <w:rFonts w:ascii="Calibri" w:cs="Calibri" w:eastAsia="Calibri" w:hAnsi="Calibri"/>
                <w:b w:val="false"/>
                <w:bCs w:val="false"/>
                <w:i/>
                <w:iCs/>
                <w:color w:val="525252"/>
                <w:sz w:val="16"/>
                <w:szCs w:val="16"/>
              </w:rPr>
              <w:t xml:space="preserve">P3/P4 zero-touch target</w:t>
            </w:r>
          </w:p>
        </w:tc>
        <w:tc>
          <w:tcPr>
            <w:tcW w:type="dxa" w:w="2380"/>
            <w:tcBorders>
              <w:top w:val="single" w:color="0F62FE" w:sz="8"/>
              <w:left w:val="single" w:color="E0E0E0" w:sz="2"/>
              <w:bottom w:val="single" w:color="E0E0E0" w:sz="2"/>
              <w:right w:val="single" w:color="E0E0E0" w:sz="2"/>
            </w:tcBorders>
            <w:shd w:fill="EBF2FF" w:val="solid"/>
            <w:tcMar>
              <w:top w:type="dxa" w:w="80"/>
              <w:left w:type="dxa" w:w="120"/>
              <w:bottom w:type="dxa" w:w="80"/>
              <w:right w:type="dxa" w:w="120"/>
            </w:tcMar>
          </w:tcPr>
          <w:p>
            <w:pPr>
              <w:spacing w:after="40" w:before="160"/>
              <w:jc w:val="center"/>
            </w:pPr>
            <w:r>
              <w:rPr>
                <w:rFonts w:ascii="Calibri" w:cs="Calibri" w:eastAsia="Calibri" w:hAnsi="Calibri"/>
                <w:b/>
                <w:bCs/>
                <w:i w:val="false"/>
                <w:iCs w:val="false"/>
                <w:color w:val="0F62FE"/>
                <w:sz w:val="44"/>
                <w:szCs w:val="44"/>
              </w:rPr>
              <w:t xml:space="preserve">80%+</w:t>
            </w:r>
          </w:p>
          <w:p>
            <w:pPr>
              <w:spacing w:after="40" w:before="0"/>
              <w:jc w:val="center"/>
            </w:pPr>
            <w:r>
              <w:rPr>
                <w:rFonts w:ascii="Calibri" w:cs="Calibri" w:eastAsia="Calibri" w:hAnsi="Calibri"/>
                <w:b/>
                <w:bCs/>
                <w:i w:val="false"/>
                <w:iCs w:val="false"/>
                <w:color w:val="001141"/>
                <w:sz w:val="18"/>
                <w:szCs w:val="18"/>
              </w:rPr>
              <w:t xml:space="preserve">Test Automation</w:t>
            </w:r>
          </w:p>
          <w:p>
            <w:pPr>
              <w:spacing w:after="160" w:before="0"/>
              <w:jc w:val="center"/>
            </w:pPr>
            <w:r>
              <w:rPr>
                <w:rFonts w:ascii="Calibri" w:cs="Calibri" w:eastAsia="Calibri" w:hAnsi="Calibri"/>
                <w:b w:val="false"/>
                <w:bCs w:val="false"/>
                <w:i/>
                <w:iCs/>
                <w:color w:val="525252"/>
                <w:sz w:val="16"/>
                <w:szCs w:val="16"/>
              </w:rPr>
              <w:t xml:space="preserve">from ~25% today</w:t>
            </w:r>
          </w:p>
        </w:tc>
      </w:tr>
    </w:tbl>
    <w:p>
      <w:pPr>
        <w:spacing w:after="240" w:before="0"/>
      </w:pPr>
      <w:r>
        <w:rPr>
          <w:rFonts w:ascii="Calibri" w:cs="Calibri" w:eastAsia="Calibri" w:hAnsi="Calibri"/>
          <w:b w:val="false"/>
          <w:bCs w:val="false"/>
          <w:i w:val="false"/>
          <w:iCs w:val="false"/>
          <w:color w:val="161616"/>
          <w:sz w:val="21"/>
          <w:szCs w:val="21"/>
        </w:rPr>
        <w:t xml:space="preserve"/>
      </w:r>
    </w:p>
    <w:p>
      <w:pPr>
        <w:spacing w:after="80" w:before="120"/>
        <w:ind w:left="1584" w:right="1584"/>
        <w:jc w:val="center"/>
      </w:pPr>
      <w:r>
        <w:rPr>
          <w:rFonts w:ascii="Calibri" w:cs="Calibri" w:eastAsia="Calibri" w:hAnsi="Calibri"/>
          <w:b w:val="false"/>
          <w:bCs w:val="false"/>
          <w:i/>
          <w:iCs/>
          <w:color w:val="001141"/>
          <w:sz w:val="21"/>
          <w:szCs w:val="21"/>
        </w:rPr>
        <w:t xml:space="preserve">“A member who can’t access their benefits, a provider waiting days for authorisation, a payer carrying the cost of an avoidable error — these are the problems IBM is here to solve. Technology is the means. Human outcomes are the only measure.”</w:t>
      </w:r>
    </w:p>
    <w:p>
      <w:pPr>
        <w:spacing w:after="280" w:before="0"/>
        <w:ind w:right="1584"/>
        <w:jc w:val="right"/>
      </w:pPr>
      <w:r>
        <w:rPr>
          <w:rFonts w:ascii="Calibri" w:cs="Calibri" w:eastAsia="Calibri" w:hAnsi="Calibri"/>
          <w:b/>
          <w:bCs/>
          <w:i w:val="false"/>
          <w:iCs w:val="false"/>
          <w:color w:val="0F62FE"/>
          <w:sz w:val="18"/>
          <w:szCs w:val="18"/>
        </w:rPr>
        <w:t xml:space="preserve">— IBM Consulting, Healthcare &amp; Payer Delivery</w:t>
      </w:r>
    </w:p>
    <w:p>
      <w:pPr>
        <w:pBdr>
          <w:top w:val="single" w:color="E0E0E0" w:sz="4"/>
        </w:pBdr>
        <w:spacing w:after="0" w:before="120"/>
        <w:ind w:left="1584" w:right="1584"/>
      </w:pPr>
    </w:p>
    <w:p>
      <w:pPr>
        <w:spacing w:after="100" w:before="100"/>
        <w:ind w:left="1584"/>
      </w:pPr>
      <w:r>
        <w:rPr>
          <w:rFonts w:ascii="Calibri" w:cs="Calibri" w:eastAsia="Calibri" w:hAnsi="Calibri"/>
          <w:b/>
          <w:bCs/>
          <w:i w:val="false"/>
          <w:iCs w:val="false"/>
          <w:color w:val="001141"/>
          <w:sz w:val="17"/>
          <w:szCs w:val="17"/>
        </w:rPr>
        <w:t xml:space="preserve">Prepared for: </w:t>
      </w:r>
      <w:r>
        <w:rPr>
          <w:rFonts w:ascii="Calibri" w:cs="Calibri" w:eastAsia="Calibri" w:hAnsi="Calibri"/>
          <w:b w:val="false"/>
          <w:bCs w:val="false"/>
          <w:i w:val="false"/>
          <w:iCs w:val="false"/>
          <w:color w:val="525252"/>
          <w:sz w:val="17"/>
          <w:szCs w:val="17"/>
        </w:rPr>
        <w:t xml:space="preserve">Horizon Healthcare Services     </w:t>
      </w:r>
      <w:r>
        <w:rPr>
          <w:rFonts w:ascii="Calibri" w:cs="Calibri" w:eastAsia="Calibri" w:hAnsi="Calibri"/>
          <w:b/>
          <w:bCs/>
          <w:i w:val="false"/>
          <w:iCs w:val="false"/>
          <w:color w:val="001141"/>
          <w:sz w:val="17"/>
          <w:szCs w:val="17"/>
        </w:rPr>
        <w:t xml:space="preserve">Submitted by: </w:t>
      </w:r>
      <w:r>
        <w:rPr>
          <w:rFonts w:ascii="Calibri" w:cs="Calibri" w:eastAsia="Calibri" w:hAnsi="Calibri"/>
          <w:b w:val="false"/>
          <w:bCs w:val="false"/>
          <w:i w:val="false"/>
          <w:iCs w:val="false"/>
          <w:color w:val="525252"/>
          <w:sz w:val="17"/>
          <w:szCs w:val="17"/>
        </w:rPr>
        <w:t xml:space="preserve">IBM Consulting — Healthcare &amp; Payer     </w:t>
      </w:r>
      <w:r>
        <w:rPr>
          <w:rFonts w:ascii="Calibri" w:cs="Calibri" w:eastAsia="Calibri" w:hAnsi="Calibri"/>
          <w:b w:val="false"/>
          <w:bCs w:val="false"/>
          <w:i w:val="false"/>
          <w:iCs w:val="false"/>
          <w:color w:val="525252"/>
          <w:sz w:val="17"/>
          <w:szCs w:val="17"/>
        </w:rPr>
        <w:t xml:space="preserve">April 2026</w:t>
      </w:r>
    </w:p>
    <w:p>
      <w:pPr>
        <w:shd w:fill="001141" w:val="solid"/>
        <w:spacing w:after="100" w:before="100"/>
        <w:jc w:val="center"/>
      </w:pPr>
      <w:r>
        <w:rPr>
          <w:rFonts w:ascii="Calibri" w:cs="Calibri" w:eastAsia="Calibri" w:hAnsi="Calibri"/>
          <w:b w:val="false"/>
          <w:bCs w:val="false"/>
          <w:i w:val="false"/>
          <w:iCs w:val="false"/>
          <w:color w:val="FFFFFF"/>
          <w:sz w:val="15"/>
          <w:szCs w:val="15"/>
        </w:rPr>
        <w:t xml:space="preserve">© 2026 IBM Corporation. All rights reserved.  Powered by CareOps360 · IBM AIOps · IBM Consulting Advantage</w:t>
      </w:r>
    </w:p>
    <w:p>
      <w:pPr>
        <w:spacing w:after="0" w:before="0"/>
      </w:pPr>
      <w:r>
        <w:br w:type="page"/>
      </w:r>
    </w:p>
    <w:p>
      <w:pPr>
        <w:sectPr>
          <w:pgSz w:w="11906" w:h="16838" w:orient="portrait"/>
          <w:pgMar w:top="0" w:right="0" w:bottom="0" w:left="0" w:header="708" w:footer="708" w:gutter="0"/>
          <w:pgNumType/>
          <w:docGrid w:linePitch="360"/>
        </w:sectPr>
      </w:pPr>
    </w:p>
    <w:p>
      <w:pPr>
        <w:pBdr>
          <w:top w:val="single" w:color="0F62FE" w:sz="12" w:space="6"/>
        </w:pBdr>
        <w:spacing w:after="20" w:before="240"/>
      </w:pPr>
    </w:p>
    <w:p>
      <w:pPr>
        <w:spacing w:after="20" w:before="20"/>
      </w:pPr>
      <w:r>
        <w:rPr>
          <w:rFonts w:ascii="Calibri" w:cs="Calibri" w:eastAsia="Calibri" w:hAnsi="Calibri"/>
          <w:b/>
          <w:bCs/>
          <w:i w:val="false"/>
          <w:iCs w:val="false"/>
          <w:color w:val="0F62FE"/>
          <w:sz w:val="16"/>
          <w:szCs w:val="16"/>
        </w:rPr>
        <w:t xml:space="preserve">1.0  </w:t>
      </w:r>
      <w:r>
        <w:rPr>
          <w:rFonts w:ascii="Calibri" w:cs="Calibri" w:eastAsia="Calibri" w:hAnsi="Calibri"/>
          <w:b/>
          <w:bCs/>
          <w:i w:val="false"/>
          <w:iCs w:val="false"/>
          <w:color w:val="001141"/>
          <w:sz w:val="26"/>
          <w:szCs w:val="26"/>
        </w:rPr>
        <w:t xml:space="preserve">THE STRATEGIC OPPORTUNITY</w:t>
      </w:r>
      <w:r>
        <w:rPr>
          <w:rFonts w:ascii="Calibri" w:cs="Calibri" w:eastAsia="Calibri" w:hAnsi="Calibri"/>
          <w:b w:val="false"/>
          <w:bCs w:val="false"/>
          <w:i/>
          <w:iCs/>
          <w:color w:val="8D8D8D"/>
          <w:sz w:val="19"/>
          <w:szCs w:val="19"/>
        </w:rPr>
        <w:t xml:space="preserve">   Why this moment demands bold action</w:t>
      </w:r>
    </w:p>
    <w:p>
      <w:pPr>
        <w:spacing w:after="80" w:before="0"/>
      </w:pPr>
      <w:r>
        <w:rPr>
          <w:rFonts w:ascii="Calibri" w:cs="Calibri" w:eastAsia="Calibri" w:hAnsi="Calibri"/>
          <w:b w:val="false"/>
          <w:bCs w:val="false"/>
          <w:i w:val="false"/>
          <w:iCs w:val="false"/>
          <w:color w:val="161616"/>
          <w:sz w:val="21"/>
          <w:szCs w:val="21"/>
        </w:rPr>
        <w:t xml:space="preserve"/>
      </w:r>
    </w:p>
    <w:p>
      <w:pPr>
        <w:spacing w:after="40" w:before="80"/>
        <w:ind w:left="720" w:right="720"/>
        <w:jc w:val="center"/>
      </w:pPr>
      <w:r>
        <w:rPr>
          <w:rFonts w:ascii="Calibri" w:cs="Calibri" w:eastAsia="Calibri" w:hAnsi="Calibri"/>
          <w:b w:val="false"/>
          <w:bCs w:val="false"/>
          <w:i/>
          <w:iCs/>
          <w:color w:val="001141"/>
          <w:sz w:val="23"/>
          <w:szCs w:val="23"/>
        </w:rPr>
        <w:t xml:space="preserve">“A member delayed. A provider burdened. A payer absorbing the cost of inefficiency. These are not technology problems — they are human problems that technology must solve. That is the commitment IBM brings to Horizon.”</w:t>
      </w:r>
    </w:p>
    <w:p>
      <w:pPr>
        <w:spacing w:after="100" w:before="0"/>
        <w:jc w:val="center"/>
      </w:pPr>
      <w:r>
        <w:rPr>
          <w:rFonts w:ascii="Calibri" w:cs="Calibri" w:eastAsia="Calibri" w:hAnsi="Calibri"/>
          <w:b/>
          <w:bCs/>
          <w:i w:val="false"/>
          <w:iCs w:val="false"/>
          <w:color w:val="0F62FE"/>
          <w:sz w:val="18"/>
          <w:szCs w:val="18"/>
        </w:rPr>
        <w:t xml:space="preserve">— IBM Consulting — Healthcare &amp; Payer Delivery</w:t>
      </w:r>
    </w:p>
    <w:p>
      <w:pPr>
        <w:pBdr>
          <w:bottom w:val="single" w:color="A6C8FF" w:sz="4" w:space="0"/>
        </w:pBdr>
        <w:spacing w:after="100" w:before="0"/>
        <w:ind w:left="2160" w:right="2160"/>
      </w:pPr>
    </w:p>
    <w:tbl>
      <w:tblPr>
        <w:tblW w:type="dxa" w:w="9360"/>
        <w:tblBorders>
          <w:top w:val="none"/>
          <w:left w:val="none"/>
          <w:bottom w:val="none"/>
          <w:right w:val="none"/>
          <w:insideH w:val="single" w:color="auto" w:sz="4"/>
          <w:insideV w:val="single" w:color="auto" w:sz="4"/>
        </w:tblBorders>
        <w:tblLayout w:type="fixed"/>
      </w:tblPr>
      <w:tblGrid>
        <w:gridCol w:w="100"/>
        <w:gridCol w:w="100"/>
        <w:gridCol w:w="100"/>
      </w:tblGrid>
      <w:tr>
        <w:tc>
          <w:tcPr>
            <w:tcW w:type="dxa" w:w="4493"/>
            <w:tcBorders>
              <w:top w:val="none"/>
              <w:left w:val="none"/>
              <w:bottom w:val="none"/>
              <w:right w:val="none"/>
            </w:tcBorders>
            <w:tcMar>
              <w:right w:type="dxa" w:w="160"/>
            </w:tcMar>
          </w:tcPr>
          <w:p>
            <w:pPr>
              <w:spacing w:after="60" w:before="0"/>
            </w:pPr>
            <w:r>
              <w:rPr>
                <w:rFonts w:ascii="Calibri" w:cs="Calibri" w:eastAsia="Calibri" w:hAnsi="Calibri"/>
                <w:b/>
                <w:bCs/>
                <w:i w:val="false"/>
                <w:iCs w:val="false"/>
                <w:color w:val="001141"/>
                <w:sz w:val="21"/>
                <w:szCs w:val="21"/>
              </w:rPr>
              <w:t xml:space="preserve">Where Horizon Stands Today</w:t>
            </w:r>
          </w:p>
          <w:p>
            <w:pPr>
              <w:spacing w:after="60" w:before="0"/>
            </w:pPr>
            <w:r>
              <w:rPr>
                <w:rFonts w:ascii="Calibri" w:cs="Calibri" w:eastAsia="Calibri" w:hAnsi="Calibri"/>
                <w:b w:val="false"/>
                <w:bCs w:val="false"/>
                <w:i w:val="false"/>
                <w:iCs w:val="false"/>
                <w:color w:val="161616"/>
                <w:sz w:val="21"/>
                <w:szCs w:val="21"/>
              </w:rPr>
              <w:t xml:space="preserve">Horizon's 500+ applications are managed across siloed delivery teams. Speed, quality, and member experience all pay the price:</w:t>
            </w:r>
          </w:p>
          <w:p>
            <w:pPr>
              <w:spacing w:after="40" w:before="0"/>
            </w:pPr>
            <w:r>
              <w:rPr>
                <w:rFonts w:ascii="Calibri" w:cs="Calibri" w:eastAsia="Calibri" w:hAnsi="Calibri"/>
                <w:b w:val="false"/>
                <w:bCs w:val="false"/>
                <w:i w:val="false"/>
                <w:iCs w:val="false"/>
                <w:color w:val="161616"/>
                <w:sz w:val="21"/>
                <w:szCs w:val="21"/>
              </w:rPr>
              <w:t xml:space="preserve"/>
            </w:r>
          </w:p>
          <w:p>
            <w:pPr>
              <w:pStyle w:val="ListParagraph"/>
              <w:numPr>
                <w:ilvl w:val="0"/>
                <w:numId w:val="1"/>
              </w:numPr>
              <w:spacing w:after="40" w:before="20"/>
            </w:pPr>
            <w:r>
              <w:rPr>
                <w:rFonts w:ascii="Calibri" w:cs="Calibri" w:eastAsia="Calibri" w:hAnsi="Calibri"/>
                <w:b w:val="false"/>
                <w:bCs w:val="false"/>
                <w:i w:val="false"/>
                <w:iCs w:val="false"/>
                <w:color w:val="161616"/>
                <w:sz w:val="21"/>
                <w:szCs w:val="21"/>
              </w:rPr>
              <w:t xml:space="preserve">Claims cycle times are constrained by manual processes and late-stage defects that reach production.</w:t>
            </w:r>
          </w:p>
          <w:p>
            <w:pPr>
              <w:pStyle w:val="ListParagraph"/>
              <w:numPr>
                <w:ilvl w:val="0"/>
                <w:numId w:val="1"/>
              </w:numPr>
              <w:spacing w:after="40" w:before="20"/>
            </w:pPr>
            <w:r>
              <w:rPr>
                <w:rFonts w:ascii="Calibri" w:cs="Calibri" w:eastAsia="Calibri" w:hAnsi="Calibri"/>
                <w:b w:val="false"/>
                <w:bCs w:val="false"/>
                <w:i w:val="false"/>
                <w:iCs w:val="false"/>
                <w:color w:val="161616"/>
                <w:sz w:val="21"/>
                <w:szCs w:val="21"/>
              </w:rPr>
              <w:t xml:space="preserve">Provider authorisations are delayed because integrations are batch-based rather than real-time.</w:t>
            </w:r>
          </w:p>
          <w:p>
            <w:pPr>
              <w:pStyle w:val="ListParagraph"/>
              <w:numPr>
                <w:ilvl w:val="0"/>
                <w:numId w:val="1"/>
              </w:numPr>
              <w:spacing w:after="40" w:before="20"/>
            </w:pPr>
            <w:r>
              <w:rPr>
                <w:rFonts w:ascii="Calibri" w:cs="Calibri" w:eastAsia="Calibri" w:hAnsi="Calibri"/>
                <w:b w:val="false"/>
                <w:bCs w:val="false"/>
                <w:i w:val="false"/>
                <w:iCs w:val="false"/>
                <w:color w:val="161616"/>
                <w:sz w:val="21"/>
                <w:szCs w:val="21"/>
              </w:rPr>
              <w:t xml:space="preserve">Member enrolment errors surface days after submission — long after trust is already damaged.</w:t>
            </w:r>
          </w:p>
          <w:p>
            <w:pPr>
              <w:pStyle w:val="ListParagraph"/>
              <w:numPr>
                <w:ilvl w:val="0"/>
                <w:numId w:val="1"/>
              </w:numPr>
              <w:spacing w:after="40" w:before="20"/>
            </w:pPr>
            <w:r>
              <w:rPr>
                <w:rFonts w:ascii="Calibri" w:cs="Calibri" w:eastAsia="Calibri" w:hAnsi="Calibri"/>
                <w:b w:val="false"/>
                <w:bCs w:val="false"/>
                <w:i w:val="false"/>
                <w:iCs w:val="false"/>
                <w:color w:val="161616"/>
                <w:sz w:val="21"/>
                <w:szCs w:val="21"/>
              </w:rPr>
              <w:t xml:space="preserve">Test automation at ~25% means the majority of quality assurance is slow, manual, and costly.</w:t>
            </w:r>
          </w:p>
          <w:p>
            <w:pPr>
              <w:pStyle w:val="ListParagraph"/>
              <w:numPr>
                <w:ilvl w:val="0"/>
                <w:numId w:val="1"/>
              </w:numPr>
              <w:spacing w:after="40" w:before="20"/>
            </w:pPr>
            <w:r>
              <w:rPr>
                <w:rFonts w:ascii="Calibri" w:cs="Calibri" w:eastAsia="Calibri" w:hAnsi="Calibri"/>
                <w:b w:val="false"/>
                <w:bCs w:val="false"/>
                <w:i w:val="false"/>
                <w:iCs w:val="false"/>
                <w:color w:val="161616"/>
                <w:sz w:val="21"/>
                <w:szCs w:val="21"/>
              </w:rPr>
              <w:t xml:space="preserve">Operations teams firefight recurring incidents instead of building the capability Horizon needs to grow.</w:t>
            </w:r>
          </w:p>
          <w:p>
            <w:pPr>
              <w:spacing w:after="80" w:before="0"/>
            </w:pPr>
            <w:r>
              <w:rPr>
                <w:rFonts w:ascii="Calibri" w:cs="Calibri" w:eastAsia="Calibri" w:hAnsi="Calibri"/>
                <w:b w:val="false"/>
                <w:bCs w:val="false"/>
                <w:i w:val="false"/>
                <w:iCs w:val="false"/>
                <w:color w:val="161616"/>
                <w:sz w:val="21"/>
                <w:szCs w:val="21"/>
              </w:rPr>
              <w:t xml:space="preserve"/>
            </w:r>
          </w:p>
          <w:tbl>
            <w:tblPr>
              <w:tblW w:type="dxa" w:w="4493"/>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dxa" w:w="2808"/>
                  <w:tcBorders>
                    <w:top w:val="single" w:color="0F62FE" w:sz="6"/>
                    <w:left w:val="single" w:color="E0E0E0" w:sz="2"/>
                    <w:bottom w:val="single" w:color="0F62FE" w:sz="3"/>
                    <w:right w:val="single" w:color="E0E0E0" w:sz="2"/>
                  </w:tcBorders>
                  <w:shd w:fill="D0E2FF" w:val="solid"/>
                  <w:tcMar>
                    <w:top w:type="dxa" w:w="40"/>
                    <w:left w:type="dxa" w:w="120"/>
                    <w:bottom w:type="dxa" w:w="40"/>
                    <w:right w:type="dxa" w:w="120"/>
                  </w:tcMar>
                </w:tcPr>
                <w:p>
                  <w:pPr>
                    <w:spacing w:after="60" w:before="60"/>
                  </w:pPr>
                  <w:r>
                    <w:rPr>
                      <w:rFonts w:ascii="Calibri" w:cs="Calibri" w:eastAsia="Calibri" w:hAnsi="Calibri"/>
                      <w:b/>
                      <w:bCs/>
                      <w:i w:val="false"/>
                      <w:iCs w:val="false"/>
                      <w:color w:val="001141"/>
                      <w:sz w:val="19"/>
                      <w:szCs w:val="19"/>
                    </w:rPr>
                    <w:t xml:space="preserve">Business Challenge</w:t>
                  </w:r>
                </w:p>
              </w:tc>
              <w:tc>
                <w:tcPr>
                  <w:tcW w:type="dxa" w:w="1685"/>
                  <w:tcBorders>
                    <w:top w:val="single" w:color="0F62FE" w:sz="6"/>
                    <w:left w:val="single" w:color="E0E0E0" w:sz="2"/>
                    <w:bottom w:val="single" w:color="0F62FE" w:sz="3"/>
                    <w:right w:val="single" w:color="E0E0E0" w:sz="2"/>
                  </w:tcBorders>
                  <w:shd w:fill="D0E2FF" w:val="solid"/>
                  <w:tcMar>
                    <w:top w:type="dxa" w:w="40"/>
                    <w:left w:type="dxa" w:w="120"/>
                    <w:bottom w:type="dxa" w:w="40"/>
                    <w:right w:type="dxa" w:w="120"/>
                  </w:tcMar>
                </w:tcPr>
                <w:p>
                  <w:pPr>
                    <w:spacing w:after="60" w:before="60"/>
                  </w:pPr>
                  <w:r>
                    <w:rPr>
                      <w:rFonts w:ascii="Calibri" w:cs="Calibri" w:eastAsia="Calibri" w:hAnsi="Calibri"/>
                      <w:b/>
                      <w:bCs/>
                      <w:i w:val="false"/>
                      <w:iCs w:val="false"/>
                      <w:color w:val="001141"/>
                      <w:sz w:val="19"/>
                      <w:szCs w:val="19"/>
                    </w:rPr>
                    <w:t xml:space="preserve">Impact on Stakeholders</w:t>
                  </w:r>
                </w:p>
              </w:tc>
            </w:tr>
            <w:tr>
              <w:tc>
                <w:tcPr>
                  <w:tcW w:type="dxa" w:w="2808"/>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161616"/>
                      <w:sz w:val="19"/>
                      <w:szCs w:val="19"/>
                    </w:rPr>
                    <w:t xml:space="preserve">Slow claims processing</w:t>
                  </w:r>
                </w:p>
              </w:tc>
              <w:tc>
                <w:tcPr>
                  <w:tcW w:type="dxa" w:w="1685"/>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8"/>
                      <w:szCs w:val="18"/>
                    </w:rPr>
                    <w:t xml:space="preserve">Members wait; trust erodes</w:t>
                  </w:r>
                </w:p>
              </w:tc>
            </w:tr>
            <w:tr>
              <w:tc>
                <w:tcPr>
                  <w:tcW w:type="dxa" w:w="2808"/>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161616"/>
                      <w:sz w:val="19"/>
                      <w:szCs w:val="19"/>
                    </w:rPr>
                    <w:t xml:space="preserve">Manual prior auth</w:t>
                  </w:r>
                </w:p>
              </w:tc>
              <w:tc>
                <w:tcPr>
                  <w:tcW w:type="dxa" w:w="1685"/>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8"/>
                      <w:szCs w:val="18"/>
                    </w:rPr>
                    <w:t xml:space="preserve">Providers lose time with patients</w:t>
                  </w:r>
                </w:p>
              </w:tc>
            </w:tr>
            <w:tr>
              <w:tc>
                <w:tcPr>
                  <w:tcW w:type="dxa" w:w="2808"/>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161616"/>
                      <w:sz w:val="19"/>
                      <w:szCs w:val="19"/>
                    </w:rPr>
                    <w:t xml:space="preserve">Low test automation</w:t>
                  </w:r>
                </w:p>
              </w:tc>
              <w:tc>
                <w:tcPr>
                  <w:tcW w:type="dxa" w:w="1685"/>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8"/>
                      <w:szCs w:val="18"/>
                    </w:rPr>
                    <w:t xml:space="preserve">Defects reach production</w:t>
                  </w:r>
                </w:p>
              </w:tc>
            </w:tr>
            <w:tr>
              <w:tc>
                <w:tcPr>
                  <w:tcW w:type="dxa" w:w="2808"/>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161616"/>
                      <w:sz w:val="19"/>
                      <w:szCs w:val="19"/>
                    </w:rPr>
                    <w:t xml:space="preserve">Reactive operations</w:t>
                  </w:r>
                </w:p>
              </w:tc>
              <w:tc>
                <w:tcPr>
                  <w:tcW w:type="dxa" w:w="1685"/>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8"/>
                      <w:szCs w:val="18"/>
                    </w:rPr>
                    <w:t xml:space="preserve">Unpredictable availability</w:t>
                  </w:r>
                </w:p>
              </w:tc>
            </w:tr>
            <w:tr>
              <w:tc>
                <w:tcPr>
                  <w:tcW w:type="dxa" w:w="2808"/>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161616"/>
                      <w:sz w:val="19"/>
                      <w:szCs w:val="19"/>
                    </w:rPr>
                    <w:t xml:space="preserve">Technology debt growth</w:t>
                  </w:r>
                </w:p>
              </w:tc>
              <w:tc>
                <w:tcPr>
                  <w:tcW w:type="dxa" w:w="1685"/>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8"/>
                      <w:szCs w:val="18"/>
                    </w:rPr>
                    <w:t xml:space="preserve">Rising cost &amp; compliance risk</w:t>
                  </w:r>
                </w:p>
              </w:tc>
            </w:tr>
          </w:tbl>
          <w:p/>
        </w:tc>
        <w:tc>
          <w:tcPr>
            <w:tcW w:type="dxa" w:w="374"/>
            <w:tcBorders>
              <w:top w:val="none"/>
              <w:left w:val="none"/>
              <w:bottom w:val="none"/>
              <w:right w:val="none"/>
            </w:tcBorders>
          </w:tcPr>
          <w:p>
            <w:pPr>
              <w:spacing w:after="0" w:before="0"/>
            </w:pPr>
            <w:r>
              <w:rPr>
                <w:rFonts w:ascii="Calibri" w:cs="Calibri" w:eastAsia="Calibri" w:hAnsi="Calibri"/>
                <w:b w:val="false"/>
                <w:bCs w:val="false"/>
                <w:i w:val="false"/>
                <w:iCs w:val="false"/>
                <w:color w:val="161616"/>
                <w:sz w:val="21"/>
                <w:szCs w:val="21"/>
              </w:rPr>
              <w:t xml:space="preserve"/>
            </w:r>
          </w:p>
        </w:tc>
        <w:tc>
          <w:tcPr>
            <w:tcW w:type="dxa" w:w="4493"/>
            <w:tcBorders>
              <w:top w:val="none"/>
              <w:left w:val="none"/>
              <w:bottom w:val="none"/>
              <w:right w:val="none"/>
            </w:tcBorders>
            <w:tcMar>
              <w:left w:type="dxa" w:w="160"/>
            </w:tcMar>
          </w:tcPr>
          <w:p>
            <w:pPr>
              <w:spacing w:after="60" w:before="0"/>
            </w:pPr>
            <w:r>
              <w:rPr>
                <w:rFonts w:ascii="Calibri" w:cs="Calibri" w:eastAsia="Calibri" w:hAnsi="Calibri"/>
                <w:b/>
                <w:bCs/>
                <w:i w:val="false"/>
                <w:iCs w:val="false"/>
                <w:color w:val="001141"/>
                <w:sz w:val="21"/>
                <w:szCs w:val="21"/>
              </w:rPr>
              <w:t xml:space="preserve">The IBM Response</w:t>
            </w:r>
          </w:p>
          <w:p>
            <w:pPr>
              <w:spacing w:after="60" w:before="0"/>
            </w:pPr>
            <w:r>
              <w:rPr>
                <w:rFonts w:ascii="Calibri" w:cs="Calibri" w:eastAsia="Calibri" w:hAnsi="Calibri"/>
                <w:b w:val="false"/>
                <w:bCs w:val="false"/>
                <w:i w:val="false"/>
                <w:iCs w:val="false"/>
                <w:color w:val="161616"/>
                <w:sz w:val="21"/>
                <w:szCs w:val="21"/>
              </w:rPr>
              <w:t xml:space="preserve">IBM proposes a unified partnership spanning Application Development, Quality Engineering, and Operations — with AI doing the heavy lifting so Horizon’s teams can focus on outcomes, not overhead.</w:t>
            </w:r>
          </w:p>
          <w:p>
            <w:pPr>
              <w:spacing w:after="40" w:before="0"/>
            </w:pPr>
            <w:r>
              <w:rPr>
                <w:rFonts w:ascii="Calibri" w:cs="Calibri" w:eastAsia="Calibri" w:hAnsi="Calibri"/>
                <w:b w:val="false"/>
                <w:bCs w:val="false"/>
                <w:i w:val="false"/>
                <w:iCs w:val="false"/>
                <w:color w:val="161616"/>
                <w:sz w:val="21"/>
                <w:szCs w:val="21"/>
              </w:rPr>
              <w:t xml:space="preserve"/>
            </w:r>
          </w:p>
          <w:p>
            <w:pPr>
              <w:pStyle w:val="ListParagraph"/>
              <w:numPr>
                <w:ilvl w:val="0"/>
                <w:numId w:val="1"/>
              </w:numPr>
              <w:spacing w:after="40" w:before="20"/>
            </w:pPr>
            <w:r>
              <w:rPr>
                <w:rFonts w:ascii="Calibri" w:cs="Calibri" w:eastAsia="Calibri" w:hAnsi="Calibri"/>
                <w:b w:val="false"/>
                <w:bCs w:val="false"/>
                <w:i w:val="false"/>
                <w:iCs w:val="false"/>
                <w:color w:val="161616"/>
                <w:sz w:val="21"/>
                <w:szCs w:val="21"/>
              </w:rPr>
              <w:t xml:space="preserve">Faster development cycles through AI-assisted engineering and automated, risk-scored release pipelines.</w:t>
            </w:r>
          </w:p>
          <w:p>
            <w:pPr>
              <w:pStyle w:val="ListParagraph"/>
              <w:numPr>
                <w:ilvl w:val="0"/>
                <w:numId w:val="1"/>
              </w:numPr>
              <w:spacing w:after="40" w:before="20"/>
            </w:pPr>
            <w:r>
              <w:rPr>
                <w:rFonts w:ascii="Calibri" w:cs="Calibri" w:eastAsia="Calibri" w:hAnsi="Calibri"/>
                <w:b w:val="false"/>
                <w:bCs w:val="false"/>
                <w:i w:val="false"/>
                <w:iCs w:val="false"/>
                <w:color w:val="161616"/>
                <w:sz w:val="21"/>
                <w:szCs w:val="21"/>
              </w:rPr>
              <w:t xml:space="preserve">Quality built into every stage — from commit to production — so defects are caught before members ever feel them.</w:t>
            </w:r>
          </w:p>
          <w:p>
            <w:pPr>
              <w:pStyle w:val="ListParagraph"/>
              <w:numPr>
                <w:ilvl w:val="0"/>
                <w:numId w:val="1"/>
              </w:numPr>
              <w:spacing w:after="40" w:before="20"/>
            </w:pPr>
            <w:r>
              <w:rPr>
                <w:rFonts w:ascii="Calibri" w:cs="Calibri" w:eastAsia="Calibri" w:hAnsi="Calibri"/>
                <w:b w:val="false"/>
                <w:bCs w:val="false"/>
                <w:i w:val="false"/>
                <w:iCs w:val="false"/>
                <w:color w:val="161616"/>
                <w:sz w:val="21"/>
                <w:szCs w:val="21"/>
              </w:rPr>
              <w:t xml:space="preserve">Operations that self-heal: most incidents resolved automatically, before a provider or member notices anything.</w:t>
            </w:r>
          </w:p>
          <w:p>
            <w:pPr>
              <w:pStyle w:val="ListParagraph"/>
              <w:numPr>
                <w:ilvl w:val="0"/>
                <w:numId w:val="1"/>
              </w:numPr>
              <w:spacing w:after="40" w:before="20"/>
            </w:pPr>
            <w:r>
              <w:rPr>
                <w:rFonts w:ascii="Calibri" w:cs="Calibri" w:eastAsia="Calibri" w:hAnsi="Calibri"/>
                <w:b w:val="false"/>
                <w:bCs w:val="false"/>
                <w:i w:val="false"/>
                <w:iCs w:val="false"/>
                <w:color w:val="161616"/>
                <w:sz w:val="21"/>
                <w:szCs w:val="21"/>
              </w:rPr>
              <w:t xml:space="preserve">Modernisation embedded in every sprint — no separate project, no disruption to BAU.</w:t>
            </w:r>
          </w:p>
          <w:p>
            <w:pPr>
              <w:pStyle w:val="ListParagraph"/>
              <w:numPr>
                <w:ilvl w:val="0"/>
                <w:numId w:val="1"/>
              </w:numPr>
              <w:spacing w:after="40" w:before="20"/>
            </w:pPr>
            <w:r>
              <w:rPr>
                <w:rFonts w:ascii="Calibri" w:cs="Calibri" w:eastAsia="Calibri" w:hAnsi="Calibri"/>
                <w:b w:val="false"/>
                <w:bCs w:val="false"/>
                <w:i w:val="false"/>
                <w:iCs w:val="false"/>
                <w:color w:val="161616"/>
                <w:sz w:val="21"/>
                <w:szCs w:val="21"/>
              </w:rPr>
              <w:t xml:space="preserve">Executive transparency: real-time outcomes across cost, quality, speed, and member impact.</w:t>
            </w:r>
          </w:p>
          <w:p>
            <w:pPr>
              <w:spacing w:after="80" w:before="0"/>
            </w:pPr>
            <w:r>
              <w:rPr>
                <w:rFonts w:ascii="Calibri" w:cs="Calibri" w:eastAsia="Calibri" w:hAnsi="Calibri"/>
                <w:b w:val="false"/>
                <w:bCs w:val="false"/>
                <w:i w:val="false"/>
                <w:iCs w:val="false"/>
                <w:color w:val="161616"/>
                <w:sz w:val="21"/>
                <w:szCs w:val="21"/>
              </w:rPr>
              <w:t xml:space="preserve"/>
            </w:r>
          </w:p>
          <w:tbl>
            <w:tblPr>
              <w:tblW w:type="dxa" w:w="4493"/>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dxa" w:w="2621"/>
                  <w:tcBorders>
                    <w:top w:val="single" w:color="0F62FE" w:sz="6"/>
                    <w:left w:val="single" w:color="E0E0E0" w:sz="2"/>
                    <w:bottom w:val="single" w:color="0F62FE" w:sz="3"/>
                    <w:right w:val="single" w:color="E0E0E0" w:sz="2"/>
                  </w:tcBorders>
                  <w:shd w:fill="D0E2FF" w:val="solid"/>
                  <w:tcMar>
                    <w:top w:type="dxa" w:w="40"/>
                    <w:left w:type="dxa" w:w="120"/>
                    <w:bottom w:type="dxa" w:w="40"/>
                    <w:right w:type="dxa" w:w="120"/>
                  </w:tcMar>
                </w:tcPr>
                <w:p>
                  <w:pPr>
                    <w:spacing w:after="60" w:before="60"/>
                  </w:pPr>
                  <w:r>
                    <w:rPr>
                      <w:rFonts w:ascii="Calibri" w:cs="Calibri" w:eastAsia="Calibri" w:hAnsi="Calibri"/>
                      <w:b/>
                      <w:bCs/>
                      <w:i w:val="false"/>
                      <w:iCs w:val="false"/>
                      <w:color w:val="001141"/>
                      <w:sz w:val="19"/>
                      <w:szCs w:val="19"/>
                    </w:rPr>
                    <w:t xml:space="preserve">IBM Capability</w:t>
                  </w:r>
                </w:p>
              </w:tc>
              <w:tc>
                <w:tcPr>
                  <w:tcW w:type="dxa" w:w="1872"/>
                  <w:tcBorders>
                    <w:top w:val="single" w:color="0F62FE" w:sz="6"/>
                    <w:left w:val="single" w:color="E0E0E0" w:sz="2"/>
                    <w:bottom w:val="single" w:color="0F62FE" w:sz="3"/>
                    <w:right w:val="single" w:color="E0E0E0" w:sz="2"/>
                  </w:tcBorders>
                  <w:shd w:fill="D0E2FF" w:val="solid"/>
                  <w:tcMar>
                    <w:top w:type="dxa" w:w="40"/>
                    <w:left w:type="dxa" w:w="120"/>
                    <w:bottom w:type="dxa" w:w="40"/>
                    <w:right w:type="dxa" w:w="120"/>
                  </w:tcMar>
                </w:tcPr>
                <w:p>
                  <w:pPr>
                    <w:spacing w:after="60" w:before="60"/>
                  </w:pPr>
                  <w:r>
                    <w:rPr>
                      <w:rFonts w:ascii="Calibri" w:cs="Calibri" w:eastAsia="Calibri" w:hAnsi="Calibri"/>
                      <w:b/>
                      <w:bCs/>
                      <w:i w:val="false"/>
                      <w:iCs w:val="false"/>
                      <w:color w:val="001141"/>
                      <w:sz w:val="19"/>
                      <w:szCs w:val="19"/>
                    </w:rPr>
                    <w:t xml:space="preserve">Business Outcome</w:t>
                  </w:r>
                </w:p>
              </w:tc>
            </w:tr>
            <w:tr>
              <w:tc>
                <w:tcPr>
                  <w:tcW w:type="dxa" w:w="2621"/>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AI-First Development</w:t>
                  </w:r>
                </w:p>
              </w:tc>
              <w:tc>
                <w:tcPr>
                  <w:tcW w:type="dxa" w:w="1872"/>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25–40% faster delivery</w:t>
                  </w:r>
                </w:p>
              </w:tc>
            </w:tr>
            <w:tr>
              <w:tc>
                <w:tcPr>
                  <w:tcW w:type="dxa" w:w="2621"/>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GenAI Quality Engine</w:t>
                  </w:r>
                </w:p>
              </w:tc>
              <w:tc>
                <w:tcPr>
                  <w:tcW w:type="dxa" w:w="1872"/>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80%+ test automation</w:t>
                  </w:r>
                </w:p>
              </w:tc>
            </w:tr>
            <w:tr>
              <w:tc>
                <w:tcPr>
                  <w:tcW w:type="dxa" w:w="2621"/>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Agentic Operations</w:t>
                  </w:r>
                </w:p>
              </w:tc>
              <w:tc>
                <w:tcPr>
                  <w:tcW w:type="dxa" w:w="1872"/>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&gt;74% auto-resolution</w:t>
                  </w:r>
                </w:p>
              </w:tc>
            </w:tr>
            <w:tr>
              <w:tc>
                <w:tcPr>
                  <w:tcW w:type="dxa" w:w="2621"/>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Zero-Touch Delivery</w:t>
                  </w:r>
                </w:p>
              </w:tc>
              <w:tc>
                <w:tcPr>
                  <w:tcW w:type="dxa" w:w="1872"/>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−55% MTTR</w:t>
                  </w:r>
                </w:p>
              </w:tc>
            </w:tr>
            <w:tr>
              <w:tc>
                <w:tcPr>
                  <w:tcW w:type="dxa" w:w="2621"/>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Outcome Governance</w:t>
                  </w:r>
                </w:p>
              </w:tc>
              <w:tc>
                <w:tcPr>
                  <w:tcW w:type="dxa" w:w="1872"/>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Real-time ROI visibility</w:t>
                  </w:r>
                </w:p>
              </w:tc>
            </w:tr>
          </w:tbl>
          <w:p/>
        </w:tc>
      </w:tr>
    </w:tbl>
    <w:p>
      <w:pPr>
        <w:spacing w:after="0" w:before="0"/>
      </w:pPr>
      <w:r>
        <w:br w:type="page"/>
      </w:r>
    </w:p>
    <w:p>
      <w:pPr>
        <w:pBdr>
          <w:top w:val="single" w:color="0F62FE" w:sz="12" w:space="6"/>
        </w:pBdr>
        <w:spacing w:after="20" w:before="240"/>
      </w:pPr>
    </w:p>
    <w:p>
      <w:pPr>
        <w:spacing w:after="20" w:before="20"/>
      </w:pPr>
      <w:r>
        <w:rPr>
          <w:rFonts w:ascii="Calibri" w:cs="Calibri" w:eastAsia="Calibri" w:hAnsi="Calibri"/>
          <w:b/>
          <w:bCs/>
          <w:i w:val="false"/>
          <w:iCs w:val="false"/>
          <w:color w:val="0F62FE"/>
          <w:sz w:val="16"/>
          <w:szCs w:val="16"/>
        </w:rPr>
        <w:t xml:space="preserve">2.0  </w:t>
      </w:r>
      <w:r>
        <w:rPr>
          <w:rFonts w:ascii="Calibri" w:cs="Calibri" w:eastAsia="Calibri" w:hAnsi="Calibri"/>
          <w:b/>
          <w:bCs/>
          <w:i w:val="false"/>
          <w:iCs w:val="false"/>
          <w:color w:val="001141"/>
          <w:sz w:val="26"/>
          <w:szCs w:val="26"/>
        </w:rPr>
        <w:t xml:space="preserve">THE IBM OPERATING MODEL</w:t>
      </w:r>
      <w:r>
        <w:rPr>
          <w:rFonts w:ascii="Calibri" w:cs="Calibri" w:eastAsia="Calibri" w:hAnsi="Calibri"/>
          <w:b w:val="false"/>
          <w:bCs w:val="false"/>
          <w:i/>
          <w:iCs/>
          <w:color w:val="8D8D8D"/>
          <w:sz w:val="19"/>
          <w:szCs w:val="19"/>
        </w:rPr>
        <w:t xml:space="preserve">   One team. Three disciplines. One owner of outcomes.</w:t>
      </w:r>
    </w:p>
    <w:p>
      <w:pPr>
        <w:spacing w:after="60" w:before="0"/>
      </w:pPr>
      <w:r>
        <w:rPr>
          <w:rFonts w:ascii="Calibri" w:cs="Calibri" w:eastAsia="Calibri" w:hAnsi="Calibri"/>
          <w:b w:val="false"/>
          <w:bCs w:val="false"/>
          <w:i w:val="false"/>
          <w:iCs w:val="false"/>
          <w:color w:val="161616"/>
          <w:sz w:val="21"/>
          <w:szCs w:val="21"/>
        </w:rPr>
        <w:t xml:space="preserve">IBM collapses siloed delivery towers into product-aligned teams that own Application Development, Quality Engineering, and Operations end-to-end. AI runs the engine beneath — routing, healing, testing, and deploying — while Horizon’s teams own the outcomes.</w:t>
      </w:r>
    </w:p>
    <w:p>
      <w:pPr>
        <w:spacing w:after="80" w:before="0"/>
      </w:pPr>
      <w:r>
        <w:rPr>
          <w:rFonts w:ascii="Calibri" w:cs="Calibri" w:eastAsia="Calibri" w:hAnsi="Calibri"/>
          <w:b w:val="false"/>
          <w:bCs w:val="false"/>
          <w:i w:val="false"/>
          <w:iCs w:val="false"/>
          <w:color w:val="161616"/>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tblGrid>
      <w:tr>
        <w:tc>
          <w:tcPr>
            <w:gridSpan w:val="5"/>
            <w:tcBorders>
              <w:top w:val="single" w:color="0F62FE" w:sz="8"/>
              <w:left w:val="single" w:color="E0E0E0" w:sz="2"/>
              <w:bottom w:val="single" w:color="0F62FE" w:sz="3"/>
              <w:right w:val="single" w:color="E0E0E0" w:sz="2"/>
            </w:tcBorders>
            <w:shd w:fill="D0E2FF" w:val="solid"/>
            <w:tcMar>
              <w:top w:type="dxa" w:w="60"/>
              <w:left w:type="dxa" w:w="160"/>
              <w:bottom w:type="dxa" w:w="60"/>
              <w:right w:type="dxa" w:w="160"/>
            </w:tcMar>
          </w:tcPr>
          <w:p>
            <w:pPr>
              <w:spacing w:after="20" w:before="40"/>
              <w:jc w:val="center"/>
            </w:pPr>
            <w:r>
              <w:rPr>
                <w:rFonts w:ascii="Calibri" w:cs="Calibri" w:eastAsia="Calibri" w:hAnsi="Calibri"/>
                <w:b/>
                <w:bCs/>
                <w:i w:val="false"/>
                <w:iCs w:val="false"/>
                <w:color w:val="001141"/>
                <w:sz w:val="17"/>
                <w:szCs w:val="17"/>
              </w:rPr>
              <w:t xml:space="preserve">BUSINESS OUTCOMES</w:t>
            </w:r>
          </w:p>
          <w:p>
            <w:pPr>
              <w:spacing w:after="40" w:before="0"/>
              <w:jc w:val="center"/>
            </w:pPr>
            <w:r>
              <w:rPr>
                <w:rFonts w:ascii="Calibri" w:cs="Calibri" w:eastAsia="Calibri" w:hAnsi="Calibri"/>
                <w:b w:val="false"/>
                <w:bCs w:val="false"/>
                <w:i w:val="false"/>
                <w:iCs w:val="false"/>
                <w:color w:val="0F62FE"/>
                <w:sz w:val="18"/>
                <w:szCs w:val="18"/>
              </w:rPr>
              <w:t xml:space="preserve">Claims  ·  Enrollment  ·  Member Services  ·  Provider Operations  ·  Data Products</w:t>
            </w:r>
          </w:p>
        </w:tc>
      </w:tr>
      <w:tr>
        <w:tc>
          <w:tcPr>
            <w:tcW w:type="dxa" w:w="1872"/>
            <w:tcBorders>
              <w:top w:val="single" w:color="0F62FE" w:sz="10"/>
              <w:left w:val="single" w:color="E0E0E0" w:sz="2"/>
              <w:bottom w:val="single" w:color="E0E0E0" w:sz="2"/>
              <w:right w:val="single" w:color="E0E0E0" w:sz="2"/>
            </w:tcBorders>
            <w:shd w:fill="FFFFFF" w:val="solid"/>
            <w:tcMar>
              <w:top w:type="dxa" w:w="80"/>
              <w:left w:type="dxa" w:w="80"/>
              <w:bottom w:type="dxa" w:w="80"/>
              <w:right w:type="dxa" w:w="80"/>
            </w:tcMar>
          </w:tcPr>
          <w:p>
            <w:pPr>
              <w:spacing w:after="120" w:before="120"/>
              <w:jc w:val="center"/>
            </w:pPr>
            <w:r>
              <w:rPr>
                <w:rFonts w:ascii="Calibri" w:cs="Calibri" w:eastAsia="Calibri" w:hAnsi="Calibri"/>
                <w:b/>
                <w:bCs/>
                <w:i w:val="false"/>
                <w:iCs w:val="false"/>
                <w:color w:val="0F62FE"/>
                <w:sz w:val="18"/>
                <w:szCs w:val="18"/>
              </w:rPr>
              <w:t xml:space="preserve">Application
Development</w:t>
            </w:r>
          </w:p>
        </w:tc>
        <w:tc>
          <w:tcPr>
            <w:tcW w:type="dxa" w:w="1872"/>
            <w:tcBorders>
              <w:top w:val="single" w:color="007D79" w:sz="10"/>
              <w:left w:val="single" w:color="E0E0E0" w:sz="2"/>
              <w:bottom w:val="single" w:color="E0E0E0" w:sz="2"/>
              <w:right w:val="single" w:color="E0E0E0" w:sz="2"/>
            </w:tcBorders>
            <w:shd w:fill="FFFFFF" w:val="solid"/>
            <w:tcMar>
              <w:top w:type="dxa" w:w="80"/>
              <w:left w:type="dxa" w:w="80"/>
              <w:bottom w:type="dxa" w:w="80"/>
              <w:right w:type="dxa" w:w="80"/>
            </w:tcMar>
          </w:tcPr>
          <w:p>
            <w:pPr>
              <w:spacing w:after="120" w:before="120"/>
              <w:jc w:val="center"/>
            </w:pPr>
            <w:r>
              <w:rPr>
                <w:rFonts w:ascii="Calibri" w:cs="Calibri" w:eastAsia="Calibri" w:hAnsi="Calibri"/>
                <w:b/>
                <w:bCs/>
                <w:i w:val="false"/>
                <w:iCs w:val="false"/>
                <w:color w:val="007D79"/>
                <w:sz w:val="18"/>
                <w:szCs w:val="18"/>
              </w:rPr>
              <w:t xml:space="preserve">Quality
Engineering</w:t>
            </w:r>
          </w:p>
        </w:tc>
        <w:tc>
          <w:tcPr>
            <w:tcW w:type="dxa" w:w="1872"/>
            <w:tcBorders>
              <w:top w:val="single" w:color="0043CE" w:sz="10"/>
              <w:left w:val="single" w:color="E0E0E0" w:sz="2"/>
              <w:bottom w:val="single" w:color="E0E0E0" w:sz="2"/>
              <w:right w:val="single" w:color="E0E0E0" w:sz="2"/>
            </w:tcBorders>
            <w:shd w:fill="FFFFFF" w:val="solid"/>
            <w:tcMar>
              <w:top w:type="dxa" w:w="80"/>
              <w:left w:type="dxa" w:w="80"/>
              <w:bottom w:type="dxa" w:w="80"/>
              <w:right w:type="dxa" w:w="80"/>
            </w:tcMar>
          </w:tcPr>
          <w:p>
            <w:pPr>
              <w:spacing w:after="120" w:before="120"/>
              <w:jc w:val="center"/>
            </w:pPr>
            <w:r>
              <w:rPr>
                <w:rFonts w:ascii="Calibri" w:cs="Calibri" w:eastAsia="Calibri" w:hAnsi="Calibri"/>
                <w:b/>
                <w:bCs/>
                <w:i w:val="false"/>
                <w:iCs w:val="false"/>
                <w:color w:val="0043CE"/>
                <w:sz w:val="18"/>
                <w:szCs w:val="18"/>
              </w:rPr>
              <w:t xml:space="preserve">Application
Management</w:t>
            </w:r>
          </w:p>
        </w:tc>
        <w:tc>
          <w:tcPr>
            <w:tcW w:type="dxa" w:w="1872"/>
            <w:tcBorders>
              <w:top w:val="single" w:color="6929C4" w:sz="10"/>
              <w:left w:val="single" w:color="E0E0E0" w:sz="2"/>
              <w:bottom w:val="single" w:color="E0E0E0" w:sz="2"/>
              <w:right w:val="single" w:color="E0E0E0" w:sz="2"/>
            </w:tcBorders>
            <w:shd w:fill="FFFFFF" w:val="solid"/>
            <w:tcMar>
              <w:top w:type="dxa" w:w="80"/>
              <w:left w:type="dxa" w:w="80"/>
              <w:bottom w:type="dxa" w:w="80"/>
              <w:right w:type="dxa" w:w="80"/>
            </w:tcMar>
          </w:tcPr>
          <w:p>
            <w:pPr>
              <w:spacing w:after="120" w:before="120"/>
              <w:jc w:val="center"/>
            </w:pPr>
            <w:r>
              <w:rPr>
                <w:rFonts w:ascii="Calibri" w:cs="Calibri" w:eastAsia="Calibri" w:hAnsi="Calibri"/>
                <w:b/>
                <w:bCs/>
                <w:i w:val="false"/>
                <w:iCs w:val="false"/>
                <w:color w:val="6929C4"/>
                <w:sz w:val="18"/>
                <w:szCs w:val="18"/>
              </w:rPr>
              <w:t xml:space="preserve">Platform &amp;
Integration</w:t>
            </w:r>
          </w:p>
        </w:tc>
        <w:tc>
          <w:tcPr>
            <w:tcW w:type="dxa" w:w="1872"/>
            <w:tcBorders>
              <w:top w:val="single" w:color="005D5D" w:sz="10"/>
              <w:left w:val="single" w:color="E0E0E0" w:sz="2"/>
              <w:bottom w:val="single" w:color="E0E0E0" w:sz="2"/>
              <w:right w:val="single" w:color="E0E0E0" w:sz="2"/>
            </w:tcBorders>
            <w:shd w:fill="FFFFFF" w:val="solid"/>
            <w:tcMar>
              <w:top w:type="dxa" w:w="80"/>
              <w:left w:type="dxa" w:w="80"/>
              <w:bottom w:type="dxa" w:w="80"/>
              <w:right w:type="dxa" w:w="80"/>
            </w:tcMar>
          </w:tcPr>
          <w:p>
            <w:pPr>
              <w:spacing w:after="120" w:before="120"/>
              <w:jc w:val="center"/>
            </w:pPr>
            <w:r>
              <w:rPr>
                <w:rFonts w:ascii="Calibri" w:cs="Calibri" w:eastAsia="Calibri" w:hAnsi="Calibri"/>
                <w:b/>
                <w:bCs/>
                <w:i w:val="false"/>
                <w:iCs w:val="false"/>
                <w:color w:val="005D5D"/>
                <w:sz w:val="18"/>
                <w:szCs w:val="18"/>
              </w:rPr>
              <w:t xml:space="preserve">Data &amp;
Analytics</w:t>
            </w:r>
          </w:p>
        </w:tc>
      </w:tr>
      <w:tr>
        <w:tc>
          <w:tcPr>
            <w:gridSpan w:val="5"/>
            <w:tcBorders>
              <w:top w:val="single" w:color="0F62FE" w:sz="4"/>
              <w:left w:val="single" w:color="E0E0E0" w:sz="2"/>
              <w:bottom w:val="single" w:color="0F62FE" w:sz="4"/>
              <w:right w:val="single" w:color="E0E0E0" w:sz="2"/>
            </w:tcBorders>
            <w:shd w:fill="EBF2FF" w:val="solid"/>
            <w:tcMar>
              <w:top w:type="dxa" w:w="60"/>
              <w:left w:type="dxa" w:w="160"/>
              <w:bottom w:type="dxa" w:w="60"/>
              <w:right w:type="dxa" w:w="160"/>
            </w:tcMar>
          </w:tcPr>
          <w:p>
            <w:pPr>
              <w:spacing w:after="40" w:before="40"/>
              <w:jc w:val="center"/>
            </w:pPr>
            <w:r>
              <w:rPr>
                <w:rFonts w:ascii="Calibri" w:cs="Calibri" w:eastAsia="Calibri" w:hAnsi="Calibri"/>
                <w:b/>
                <w:bCs/>
                <w:i w:val="false"/>
                <w:iCs w:val="false"/>
                <w:color w:val="001141"/>
                <w:sz w:val="18"/>
                <w:szCs w:val="18"/>
              </w:rPr>
              <w:t xml:space="preserve">IBM AI ENGINE  —  AIOps  ·  Agentic Intelligence  ·  GenAI Quality  ·  ICA  ·  CareOps360</w:t>
            </w:r>
          </w:p>
        </w:tc>
      </w:tr>
      <w:tr>
        <w:tc>
          <w:tcPr>
            <w:gridSpan w:val="5"/>
            <w:tcBorders>
              <w:top w:val="single" w:color="C6C6C6" w:sz="2"/>
              <w:left w:val="single" w:color="E0E0E0" w:sz="2"/>
              <w:bottom w:val="single" w:color="C6C6C6" w:sz="2"/>
              <w:right w:val="single" w:color="E0E0E0" w:sz="2"/>
            </w:tcBorders>
            <w:shd w:fill="F4F4F4" w:val="solid"/>
            <w:tcMar>
              <w:top w:type="dxa" w:w="60"/>
              <w:left w:type="dxa" w:w="160"/>
              <w:bottom w:type="dxa" w:w="60"/>
              <w:right w:type="dxa" w:w="160"/>
            </w:tcMar>
          </w:tcPr>
          <w:p>
            <w:pPr>
              <w:spacing w:after="40" w:before="40"/>
              <w:jc w:val="center"/>
            </w:pPr>
            <w:r>
              <w:rPr>
                <w:rFonts w:ascii="Calibri" w:cs="Calibri" w:eastAsia="Calibri" w:hAnsi="Calibri"/>
                <w:b w:val="false"/>
                <w:bCs w:val="false"/>
                <w:i w:val="false"/>
                <w:iCs w:val="false"/>
                <w:color w:val="525252"/>
                <w:sz w:val="17"/>
                <w:szCs w:val="17"/>
              </w:rPr>
              <w:t xml:space="preserve">PLATFORM FOUNDATION  —  Hybrid Cloud  ·  Integration Hub  ·  Mainframe  ·  Data Platforms  ·  Security &amp; Compliance</w:t>
            </w:r>
          </w:p>
        </w:tc>
      </w:tr>
    </w:tbl>
    <w:p>
      <w:pPr>
        <w:spacing w:after="120" w:before="0"/>
      </w:pPr>
      <w:r>
        <w:rPr>
          <w:rFonts w:ascii="Calibri" w:cs="Calibri" w:eastAsia="Calibri" w:hAnsi="Calibri"/>
          <w:b w:val="false"/>
          <w:bCs w:val="false"/>
          <w:i w:val="false"/>
          <w:iCs w:val="false"/>
          <w:color w:val="161616"/>
          <w:sz w:val="21"/>
          <w:szCs w:val="21"/>
        </w:rPr>
        <w:t xml:space="preserve"/>
      </w:r>
    </w:p>
    <w:tbl>
      <w:tblPr>
        <w:tblW w:type="dxa" w:w="9360"/>
        <w:tblBorders>
          <w:top w:val="none"/>
          <w:left w:val="none"/>
          <w:bottom w:val="none"/>
          <w:right w:val="none"/>
          <w:insideH w:val="single" w:color="auto" w:sz="4"/>
          <w:insideV w:val="single" w:color="auto" w:sz="4"/>
        </w:tblBorders>
        <w:tblLayout w:type="fixed"/>
      </w:tblPr>
      <w:tblGrid>
        <w:gridCol w:w="100"/>
        <w:gridCol w:w="100"/>
        <w:gridCol w:w="100"/>
      </w:tblGrid>
      <w:tr>
        <w:tc>
          <w:tcPr>
            <w:tcW w:type="dxa" w:w="4493"/>
            <w:tcBorders>
              <w:top w:val="none"/>
              <w:left w:val="none"/>
              <w:bottom w:val="none"/>
              <w:right w:val="none"/>
            </w:tcBorders>
            <w:tcMar>
              <w:right w:type="dxa" w:w="160"/>
            </w:tcMar>
          </w:tcPr>
          <w:p>
            <w:pPr>
              <w:spacing w:after="60" w:before="0"/>
            </w:pPr>
            <w:r>
              <w:rPr>
                <w:rFonts w:ascii="Calibri" w:cs="Calibri" w:eastAsia="Calibri" w:hAnsi="Calibri"/>
                <w:b/>
                <w:bCs/>
                <w:i w:val="false"/>
                <w:iCs w:val="false"/>
                <w:color w:val="001141"/>
                <w:sz w:val="21"/>
                <w:szCs w:val="21"/>
              </w:rPr>
              <w:t xml:space="preserve">Three Integrated Disciplines</w:t>
            </w:r>
          </w:p>
          <w:p>
            <w:pPr>
              <w:spacing w:after="40" w:before="100"/>
            </w:pPr>
            <w:r>
              <w:rPr>
                <w:rFonts w:ascii="Calibri" w:cs="Calibri" w:eastAsia="Calibri" w:hAnsi="Calibri"/>
                <w:b/>
                <w:bCs/>
                <w:i w:val="false"/>
                <w:iCs w:val="false"/>
                <w:color w:val="0F62FE"/>
                <w:sz w:val="21"/>
                <w:szCs w:val="21"/>
              </w:rPr>
              <w:t xml:space="preserve">Application Development</w:t>
            </w:r>
          </w:p>
          <w:p>
            <w:pPr>
              <w:spacing w:after="20" w:before="0"/>
            </w:pPr>
            <w:r>
              <w:rPr>
                <w:rFonts w:ascii="Calibri" w:cs="Calibri" w:eastAsia="Calibri" w:hAnsi="Calibri"/>
                <w:b w:val="false"/>
                <w:bCs w:val="false"/>
                <w:i w:val="false"/>
                <w:iCs w:val="false"/>
                <w:color w:val="525252"/>
                <w:sz w:val="19"/>
                <w:szCs w:val="19"/>
              </w:rPr>
              <w:t xml:space="preserve">AI-assisted engineering, automated pipelines, and risk-scored releases — teams build faster because the machine handles the routine.</w:t>
            </w:r>
          </w:p>
          <w:p>
            <w:pPr>
              <w:spacing w:after="40" w:before="100"/>
            </w:pPr>
            <w:r>
              <w:rPr>
                <w:rFonts w:ascii="Calibri" w:cs="Calibri" w:eastAsia="Calibri" w:hAnsi="Calibri"/>
                <w:b/>
                <w:bCs/>
                <w:i w:val="false"/>
                <w:iCs w:val="false"/>
                <w:color w:val="0F62FE"/>
                <w:sz w:val="21"/>
                <w:szCs w:val="21"/>
              </w:rPr>
              <w:t xml:space="preserve">Quality Engineering</w:t>
            </w:r>
          </w:p>
          <w:p>
            <w:pPr>
              <w:spacing w:after="20" w:before="0"/>
            </w:pPr>
            <w:r>
              <w:rPr>
                <w:rFonts w:ascii="Calibri" w:cs="Calibri" w:eastAsia="Calibri" w:hAnsi="Calibri"/>
                <w:b w:val="false"/>
                <w:bCs w:val="false"/>
                <w:i w:val="false"/>
                <w:iCs w:val="false"/>
                <w:color w:val="525252"/>
                <w:sz w:val="19"/>
                <w:szCs w:val="19"/>
              </w:rPr>
              <w:t xml:space="preserve">Testing is a continuous signal at every commit, sprint, and deployment. GenAI generates tests. AI predicts defects. Coverage reaches 80%+ within 12 months.</w:t>
            </w:r>
          </w:p>
          <w:p>
            <w:pPr>
              <w:spacing w:after="40" w:before="100"/>
            </w:pPr>
            <w:r>
              <w:rPr>
                <w:rFonts w:ascii="Calibri" w:cs="Calibri" w:eastAsia="Calibri" w:hAnsi="Calibri"/>
                <w:b/>
                <w:bCs/>
                <w:i w:val="false"/>
                <w:iCs w:val="false"/>
                <w:color w:val="0F62FE"/>
                <w:sz w:val="21"/>
                <w:szCs w:val="21"/>
              </w:rPr>
              <w:t xml:space="preserve">Application Management</w:t>
            </w:r>
          </w:p>
          <w:p>
            <w:pPr>
              <w:spacing w:after="20" w:before="0"/>
            </w:pPr>
            <w:r>
              <w:rPr>
                <w:rFonts w:ascii="Calibri" w:cs="Calibri" w:eastAsia="Calibri" w:hAnsi="Calibri"/>
                <w:b w:val="false"/>
                <w:bCs w:val="false"/>
                <w:i w:val="false"/>
                <w:iCs w:val="false"/>
                <w:color w:val="525252"/>
                <w:sz w:val="19"/>
                <w:szCs w:val="19"/>
              </w:rPr>
              <w:t xml:space="preserve">Operations shift from reactive firefighting to predictive self-healing. Most incidents are resolved automatically — providers and members never notice.</w:t>
            </w:r>
          </w:p>
        </w:tc>
        <w:tc>
          <w:tcPr>
            <w:tcW w:type="dxa" w:w="374"/>
            <w:tcBorders>
              <w:top w:val="none"/>
              <w:left w:val="none"/>
              <w:bottom w:val="none"/>
              <w:right w:val="none"/>
            </w:tcBorders>
          </w:tcPr>
          <w:p>
            <w:pPr>
              <w:spacing w:after="0" w:before="0"/>
            </w:pPr>
            <w:r>
              <w:rPr>
                <w:rFonts w:ascii="Calibri" w:cs="Calibri" w:eastAsia="Calibri" w:hAnsi="Calibri"/>
                <w:b w:val="false"/>
                <w:bCs w:val="false"/>
                <w:i w:val="false"/>
                <w:iCs w:val="false"/>
                <w:color w:val="161616"/>
                <w:sz w:val="21"/>
                <w:szCs w:val="21"/>
              </w:rPr>
              <w:t xml:space="preserve"/>
            </w:r>
          </w:p>
        </w:tc>
        <w:tc>
          <w:tcPr>
            <w:tcW w:type="dxa" w:w="4493"/>
            <w:tcBorders>
              <w:top w:val="none"/>
              <w:left w:val="none"/>
              <w:bottom w:val="none"/>
              <w:right w:val="none"/>
            </w:tcBorders>
            <w:tcMar>
              <w:left w:type="dxa" w:w="160"/>
            </w:tcMar>
          </w:tcPr>
          <w:p>
            <w:pPr>
              <w:spacing w:after="60" w:before="0"/>
            </w:pPr>
            <w:r>
              <w:rPr>
                <w:rFonts w:ascii="Calibri" w:cs="Calibri" w:eastAsia="Calibri" w:hAnsi="Calibri"/>
                <w:b/>
                <w:bCs/>
                <w:i w:val="false"/>
                <w:iCs w:val="false"/>
                <w:color w:val="001141"/>
                <w:sz w:val="21"/>
                <w:szCs w:val="21"/>
              </w:rPr>
              <w:t xml:space="preserve">What Changes for Horizon</w:t>
            </w:r>
          </w:p>
          <w:tbl>
            <w:tblPr>
              <w:tblW w:type="dxa" w:w="4493"/>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dxa" w:w="2246"/>
                  <w:tcBorders>
                    <w:top w:val="single" w:color="0F62FE" w:sz="6"/>
                    <w:left w:val="single" w:color="E0E0E0" w:sz="2"/>
                    <w:bottom w:val="single" w:color="0F62FE" w:sz="3"/>
                    <w:right w:val="single" w:color="E0E0E0" w:sz="2"/>
                  </w:tcBorders>
                  <w:shd w:fill="D0E2FF" w:val="solid"/>
                  <w:tcMar>
                    <w:top w:type="dxa" w:w="40"/>
                    <w:left w:type="dxa" w:w="120"/>
                    <w:bottom w:type="dxa" w:w="40"/>
                    <w:right w:type="dxa" w:w="120"/>
                  </w:tcMar>
                </w:tcPr>
                <w:p>
                  <w:pPr>
                    <w:spacing w:after="60" w:before="60"/>
                  </w:pPr>
                  <w:r>
                    <w:rPr>
                      <w:rFonts w:ascii="Calibri" w:cs="Calibri" w:eastAsia="Calibri" w:hAnsi="Calibri"/>
                      <w:b/>
                      <w:bCs/>
                      <w:i w:val="false"/>
                      <w:iCs w:val="false"/>
                      <w:color w:val="001141"/>
                      <w:sz w:val="19"/>
                      <w:szCs w:val="19"/>
                    </w:rPr>
                    <w:t xml:space="preserve">Today</w:t>
                  </w:r>
                </w:p>
              </w:tc>
              <w:tc>
                <w:tcPr>
                  <w:tcW w:type="dxa" w:w="2246"/>
                  <w:tcBorders>
                    <w:top w:val="single" w:color="0F62FE" w:sz="6"/>
                    <w:left w:val="single" w:color="E0E0E0" w:sz="2"/>
                    <w:bottom w:val="single" w:color="0F62FE" w:sz="3"/>
                    <w:right w:val="single" w:color="E0E0E0" w:sz="2"/>
                  </w:tcBorders>
                  <w:shd w:fill="D0E2FF" w:val="solid"/>
                  <w:tcMar>
                    <w:top w:type="dxa" w:w="40"/>
                    <w:left w:type="dxa" w:w="120"/>
                    <w:bottom w:type="dxa" w:w="40"/>
                    <w:right w:type="dxa" w:w="120"/>
                  </w:tcMar>
                </w:tcPr>
                <w:p>
                  <w:pPr>
                    <w:spacing w:after="60" w:before="60"/>
                  </w:pPr>
                  <w:r>
                    <w:rPr>
                      <w:rFonts w:ascii="Calibri" w:cs="Calibri" w:eastAsia="Calibri" w:hAnsi="Calibri"/>
                      <w:b/>
                      <w:bCs/>
                      <w:i w:val="false"/>
                      <w:iCs w:val="false"/>
                      <w:color w:val="001141"/>
                      <w:sz w:val="19"/>
                      <w:szCs w:val="19"/>
                    </w:rPr>
                    <w:t xml:space="preserve">With IBM</w:t>
                  </w:r>
                </w:p>
              </w:tc>
            </w:tr>
            <w:tr>
              <w:tc>
                <w:tcPr>
                  <w:tcW w:type="dxa" w:w="2246"/>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Siloed delivery towers</w:t>
                  </w:r>
                </w:p>
              </w:tc>
              <w:tc>
                <w:tcPr>
                  <w:tcW w:type="dxa" w:w="2246"/>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8"/>
                      <w:szCs w:val="18"/>
                    </w:rPr>
                    <w:t xml:space="preserve">Unified product pods</w:t>
                  </w:r>
                </w:p>
              </w:tc>
            </w:tr>
            <w:tr>
              <w:tc>
                <w:tcPr>
                  <w:tcW w:type="dxa" w:w="2246"/>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Reactive firefighting</w:t>
                  </w:r>
                </w:p>
              </w:tc>
              <w:tc>
                <w:tcPr>
                  <w:tcW w:type="dxa" w:w="2246"/>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8"/>
                      <w:szCs w:val="18"/>
                    </w:rPr>
                    <w:t xml:space="preserve">Predictive self-healing</w:t>
                  </w:r>
                </w:p>
              </w:tc>
            </w:tr>
            <w:tr>
              <w:tc>
                <w:tcPr>
                  <w:tcW w:type="dxa" w:w="2246"/>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Late-stage testing</w:t>
                  </w:r>
                </w:p>
              </w:tc>
              <w:tc>
                <w:tcPr>
                  <w:tcW w:type="dxa" w:w="2246"/>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8"/>
                      <w:szCs w:val="18"/>
                    </w:rPr>
                    <w:t xml:space="preserve">Shift-left quality gates</w:t>
                  </w:r>
                </w:p>
              </w:tc>
            </w:tr>
            <w:tr>
              <w:tc>
                <w:tcPr>
                  <w:tcW w:type="dxa" w:w="2246"/>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Manual deployments</w:t>
                  </w:r>
                </w:p>
              </w:tc>
              <w:tc>
                <w:tcPr>
                  <w:tcW w:type="dxa" w:w="2246"/>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8"/>
                      <w:szCs w:val="18"/>
                    </w:rPr>
                    <w:t xml:space="preserve">AI risk-scored pipelines</w:t>
                  </w:r>
                </w:p>
              </w:tc>
            </w:tr>
            <w:tr>
              <w:tc>
                <w:tcPr>
                  <w:tcW w:type="dxa" w:w="2246"/>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Activity-metric reports</w:t>
                  </w:r>
                </w:p>
              </w:tc>
              <w:tc>
                <w:tcPr>
                  <w:tcW w:type="dxa" w:w="2246"/>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8"/>
                      <w:szCs w:val="18"/>
                    </w:rPr>
                    <w:t xml:space="preserve">Business outcome dashboards</w:t>
                  </w:r>
                </w:p>
              </w:tc>
            </w:tr>
            <w:tr>
              <w:tc>
                <w:tcPr>
                  <w:tcW w:type="dxa" w:w="2246"/>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Innovation as a project</w:t>
                  </w:r>
                </w:p>
              </w:tc>
              <w:tc>
                <w:tcPr>
                  <w:tcW w:type="dxa" w:w="2246"/>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8"/>
                      <w:szCs w:val="18"/>
                    </w:rPr>
                    <w:t xml:space="preserve">Innovation every sprint</w:t>
                  </w:r>
                </w:p>
              </w:tc>
            </w:tr>
          </w:tbl>
          <w:p/>
        </w:tc>
      </w:tr>
    </w:tbl>
    <w:p>
      <w:pPr>
        <w:spacing w:after="0" w:before="0"/>
      </w:pPr>
      <w:r>
        <w:br w:type="page"/>
      </w:r>
    </w:p>
    <w:p>
      <w:pPr>
        <w:pBdr>
          <w:top w:val="single" w:color="0F62FE" w:sz="12" w:space="6"/>
        </w:pBdr>
        <w:spacing w:after="20" w:before="240"/>
      </w:pPr>
    </w:p>
    <w:p>
      <w:pPr>
        <w:spacing w:after="20" w:before="20"/>
      </w:pPr>
      <w:r>
        <w:rPr>
          <w:rFonts w:ascii="Calibri" w:cs="Calibri" w:eastAsia="Calibri" w:hAnsi="Calibri"/>
          <w:b/>
          <w:bCs/>
          <w:i w:val="false"/>
          <w:iCs w:val="false"/>
          <w:color w:val="0F62FE"/>
          <w:sz w:val="16"/>
          <w:szCs w:val="16"/>
        </w:rPr>
        <w:t xml:space="preserve">3.0  </w:t>
      </w:r>
      <w:r>
        <w:rPr>
          <w:rFonts w:ascii="Calibri" w:cs="Calibri" w:eastAsia="Calibri" w:hAnsi="Calibri"/>
          <w:b/>
          <w:bCs/>
          <w:i w:val="false"/>
          <w:iCs w:val="false"/>
          <w:color w:val="001141"/>
          <w:sz w:val="26"/>
          <w:szCs w:val="26"/>
        </w:rPr>
        <w:t xml:space="preserve">AI-FIRST APPLICATION DEVELOPMENT</w:t>
      </w:r>
      <w:r>
        <w:rPr>
          <w:rFonts w:ascii="Calibri" w:cs="Calibri" w:eastAsia="Calibri" w:hAnsi="Calibri"/>
          <w:b w:val="false"/>
          <w:bCs w:val="false"/>
          <w:i/>
          <w:iCs/>
          <w:color w:val="8D8D8D"/>
          <w:sz w:val="19"/>
          <w:szCs w:val="19"/>
        </w:rPr>
        <w:t xml:space="preserve">   Build faster. Ship safer. Modernise continuously.</w:t>
      </w:r>
    </w:p>
    <w:p>
      <w:pPr>
        <w:spacing w:after="80" w:before="0"/>
      </w:pPr>
      <w:r>
        <w:rPr>
          <w:rFonts w:ascii="Calibri" w:cs="Calibri" w:eastAsia="Calibri" w:hAnsi="Calibri"/>
          <w:b w:val="false"/>
          <w:bCs w:val="false"/>
          <w:i w:val="false"/>
          <w:iCs w:val="false"/>
          <w:color w:val="161616"/>
          <w:sz w:val="21"/>
          <w:szCs w:val="21"/>
        </w:rPr>
        <w:t xml:space="preserve"/>
      </w:r>
    </w:p>
    <w:p>
      <w:pPr>
        <w:spacing w:after="40" w:before="80"/>
        <w:ind w:left="720" w:right="720"/>
        <w:jc w:val="center"/>
      </w:pPr>
      <w:r>
        <w:rPr>
          <w:rFonts w:ascii="Calibri" w:cs="Calibri" w:eastAsia="Calibri" w:hAnsi="Calibri"/>
          <w:b w:val="false"/>
          <w:bCs w:val="false"/>
          <w:i/>
          <w:iCs/>
          <w:color w:val="001141"/>
          <w:sz w:val="23"/>
          <w:szCs w:val="23"/>
        </w:rPr>
        <w:t xml:space="preserve">“When a member’s enrollment takes two weeks because a downstream application is slow to update, that is not an acceptable user experience. IBM engineers the systems so that timeline shrinks to hours — not as an ambition, but as a commitment.”</w:t>
      </w:r>
    </w:p>
    <w:p>
      <w:pPr>
        <w:spacing w:after="100" w:before="0"/>
        <w:jc w:val="center"/>
      </w:pPr>
      <w:r>
        <w:rPr>
          <w:rFonts w:ascii="Calibri" w:cs="Calibri" w:eastAsia="Calibri" w:hAnsi="Calibri"/>
          <w:b/>
          <w:bCs/>
          <w:i w:val="false"/>
          <w:iCs w:val="false"/>
          <w:color w:val="0F62FE"/>
          <w:sz w:val="18"/>
          <w:szCs w:val="18"/>
        </w:rPr>
        <w:t xml:space="preserve">— IBM Consulting — Member Experience Engineering</w:t>
      </w:r>
    </w:p>
    <w:p>
      <w:pPr>
        <w:pBdr>
          <w:bottom w:val="single" w:color="A6C8FF" w:sz="4" w:space="0"/>
        </w:pBdr>
        <w:spacing w:after="100" w:before="0"/>
        <w:ind w:left="2160" w:right="2160"/>
      </w:pPr>
    </w:p>
    <w:tbl>
      <w:tblPr>
        <w:tblW w:type="dxa" w:w="9360"/>
        <w:tblBorders>
          <w:top w:val="none"/>
          <w:left w:val="none"/>
          <w:bottom w:val="none"/>
          <w:right w:val="none"/>
          <w:insideH w:val="single" w:color="auto" w:sz="4"/>
          <w:insideV w:val="single" w:color="auto" w:sz="4"/>
        </w:tblBorders>
        <w:tblLayout w:type="fixed"/>
      </w:tblPr>
      <w:tblGrid>
        <w:gridCol w:w="100"/>
        <w:gridCol w:w="100"/>
        <w:gridCol w:w="100"/>
      </w:tblGrid>
      <w:tr>
        <w:tc>
          <w:tcPr>
            <w:tcW w:type="dxa" w:w="4493"/>
            <w:tcBorders>
              <w:top w:val="none"/>
              <w:left w:val="none"/>
              <w:bottom w:val="none"/>
              <w:right w:val="none"/>
            </w:tcBorders>
            <w:tcMar>
              <w:right w:type="dxa" w:w="160"/>
            </w:tcMar>
          </w:tcPr>
          <w:p>
            <w:pPr>
              <w:spacing w:after="60" w:before="0"/>
            </w:pPr>
            <w:r>
              <w:rPr>
                <w:rFonts w:ascii="Calibri" w:cs="Calibri" w:eastAsia="Calibri" w:hAnsi="Calibri"/>
                <w:b/>
                <w:bCs/>
                <w:i w:val="false"/>
                <w:iCs w:val="false"/>
                <w:color w:val="001141"/>
                <w:sz w:val="21"/>
                <w:szCs w:val="21"/>
              </w:rPr>
              <w:t xml:space="preserve">How IBM Builds Faster</w:t>
            </w:r>
          </w:p>
          <w:p>
            <w:pPr>
              <w:spacing w:after="40" w:before="100"/>
            </w:pPr>
            <w:r>
              <w:rPr>
                <w:rFonts w:ascii="Calibri" w:cs="Calibri" w:eastAsia="Calibri" w:hAnsi="Calibri"/>
                <w:b/>
                <w:bCs/>
                <w:i w:val="false"/>
                <w:iCs w:val="false"/>
                <w:color w:val="0F62FE"/>
                <w:sz w:val="21"/>
                <w:szCs w:val="21"/>
              </w:rPr>
              <w:t xml:space="preserve">AI-Assisted Development</w:t>
            </w:r>
          </w:p>
          <w:p>
            <w:pPr>
              <w:spacing w:after="20" w:before="0"/>
            </w:pPr>
            <w:r>
              <w:rPr>
                <w:rFonts w:ascii="Calibri" w:cs="Calibri" w:eastAsia="Calibri" w:hAnsi="Calibri"/>
                <w:b w:val="false"/>
                <w:bCs w:val="false"/>
                <w:i w:val="false"/>
                <w:iCs w:val="false"/>
                <w:color w:val="525252"/>
                <w:sz w:val="19"/>
                <w:szCs w:val="19"/>
              </w:rPr>
              <w:t xml:space="preserve">AI coding assistants generate boilerplate, flag risk patterns, and suggest optimisations in real time — cutting delivery effort by 25–35% and freeing engineers for design and architecture.</w:t>
            </w:r>
          </w:p>
          <w:p>
            <w:pPr>
              <w:spacing w:after="40" w:before="100"/>
            </w:pPr>
            <w:r>
              <w:rPr>
                <w:rFonts w:ascii="Calibri" w:cs="Calibri" w:eastAsia="Calibri" w:hAnsi="Calibri"/>
                <w:b/>
                <w:bCs/>
                <w:i w:val="false"/>
                <w:iCs w:val="false"/>
                <w:color w:val="0F62FE"/>
                <w:sz w:val="21"/>
                <w:szCs w:val="21"/>
              </w:rPr>
              <w:t xml:space="preserve">Automated Release Gates</w:t>
            </w:r>
          </w:p>
          <w:p>
            <w:pPr>
              <w:spacing w:after="20" w:before="0"/>
            </w:pPr>
            <w:r>
              <w:rPr>
                <w:rFonts w:ascii="Calibri" w:cs="Calibri" w:eastAsia="Calibri" w:hAnsi="Calibri"/>
                <w:b w:val="false"/>
                <w:bCs w:val="false"/>
                <w:i w:val="false"/>
                <w:iCs w:val="false"/>
                <w:color w:val="525252"/>
                <w:sz w:val="19"/>
                <w:szCs w:val="19"/>
              </w:rPr>
              <w:t xml:space="preserve">Every change passes through AI-scored gates: security, performance, coverage, and risk. Low-risk changes deploy without human approval — only exceptions require sign-off.</w:t>
            </w:r>
          </w:p>
          <w:p>
            <w:pPr>
              <w:spacing w:after="40" w:before="100"/>
            </w:pPr>
            <w:r>
              <w:rPr>
                <w:rFonts w:ascii="Calibri" w:cs="Calibri" w:eastAsia="Calibri" w:hAnsi="Calibri"/>
                <w:b/>
                <w:bCs/>
                <w:i w:val="false"/>
                <w:iCs w:val="false"/>
                <w:color w:val="0F62FE"/>
                <w:sz w:val="21"/>
                <w:szCs w:val="21"/>
              </w:rPr>
              <w:t xml:space="preserve">Modernisation in Every Sprint</w:t>
            </w:r>
          </w:p>
          <w:p>
            <w:pPr>
              <w:spacing w:after="20" w:before="0"/>
            </w:pPr>
            <w:r>
              <w:rPr>
                <w:rFonts w:ascii="Calibri" w:cs="Calibri" w:eastAsia="Calibri" w:hAnsi="Calibri"/>
                <w:b w:val="false"/>
                <w:bCs w:val="false"/>
                <w:i w:val="false"/>
                <w:iCs w:val="false"/>
                <w:color w:val="525252"/>
                <w:sz w:val="19"/>
                <w:szCs w:val="19"/>
              </w:rPr>
              <w:t xml:space="preserve">No separate modernisation programme. Every sprint includes a modernisation action: an API-wrap, a library upgrade, a refactor. Progress compounds continuously without disrupting BAU.</w:t>
            </w:r>
          </w:p>
          <w:p>
            <w:pPr>
              <w:spacing w:after="40" w:before="100"/>
            </w:pPr>
            <w:r>
              <w:rPr>
                <w:rFonts w:ascii="Calibri" w:cs="Calibri" w:eastAsia="Calibri" w:hAnsi="Calibri"/>
                <w:b/>
                <w:bCs/>
                <w:i w:val="false"/>
                <w:iCs w:val="false"/>
                <w:color w:val="0F62FE"/>
                <w:sz w:val="21"/>
                <w:szCs w:val="21"/>
              </w:rPr>
              <w:t xml:space="preserve">Domain-Aligned Pods</w:t>
            </w:r>
          </w:p>
          <w:p>
            <w:pPr>
              <w:spacing w:after="20" w:before="0"/>
            </w:pPr>
            <w:r>
              <w:rPr>
                <w:rFonts w:ascii="Calibri" w:cs="Calibri" w:eastAsia="Calibri" w:hAnsi="Calibri"/>
                <w:b w:val="false"/>
                <w:bCs w:val="false"/>
                <w:i w:val="false"/>
                <w:iCs w:val="false"/>
                <w:color w:val="525252"/>
                <w:sz w:val="19"/>
                <w:szCs w:val="19"/>
              </w:rPr>
              <w:t xml:space="preserve">Development squads align to Horizon’s business domains — Claims, Enrollment, Member, Provider. Context stays with the team; nothing is lost in handoffs.</w:t>
            </w:r>
          </w:p>
        </w:tc>
        <w:tc>
          <w:tcPr>
            <w:tcW w:type="dxa" w:w="374"/>
            <w:tcBorders>
              <w:top w:val="none"/>
              <w:left w:val="none"/>
              <w:bottom w:val="none"/>
              <w:right w:val="none"/>
            </w:tcBorders>
          </w:tcPr>
          <w:p>
            <w:pPr>
              <w:spacing w:after="0" w:before="0"/>
            </w:pPr>
            <w:r>
              <w:rPr>
                <w:rFonts w:ascii="Calibri" w:cs="Calibri" w:eastAsia="Calibri" w:hAnsi="Calibri"/>
                <w:b w:val="false"/>
                <w:bCs w:val="false"/>
                <w:i w:val="false"/>
                <w:iCs w:val="false"/>
                <w:color w:val="161616"/>
                <w:sz w:val="21"/>
                <w:szCs w:val="21"/>
              </w:rPr>
              <w:t xml:space="preserve"/>
            </w:r>
          </w:p>
        </w:tc>
        <w:tc>
          <w:tcPr>
            <w:tcW w:type="dxa" w:w="4493"/>
            <w:tcBorders>
              <w:top w:val="none"/>
              <w:left w:val="none"/>
              <w:bottom w:val="none"/>
              <w:right w:val="none"/>
            </w:tcBorders>
            <w:tcMar>
              <w:left w:type="dxa" w:w="160"/>
            </w:tcMar>
          </w:tcPr>
          <w:p>
            <w:pPr>
              <w:spacing w:after="60" w:before="0"/>
            </w:pPr>
            <w:r>
              <w:rPr>
                <w:rFonts w:ascii="Calibri" w:cs="Calibri" w:eastAsia="Calibri" w:hAnsi="Calibri"/>
                <w:b/>
                <w:bCs/>
                <w:i w:val="false"/>
                <w:iCs w:val="false"/>
                <w:color w:val="001141"/>
                <w:sz w:val="21"/>
                <w:szCs w:val="21"/>
              </w:rPr>
              <w:t xml:space="preserve">Development Speed Gains</w:t>
            </w:r>
          </w:p>
          <w:p>
            <w:pPr>
              <w:spacing w:after="60" w:before="0"/>
            </w:pPr>
            <w:r>
              <w:rPr>
                <w:rFonts w:ascii="Calibri" w:cs="Calibri" w:eastAsia="Calibri" w:hAnsi="Calibri"/>
                <w:b w:val="false"/>
                <w:bCs w:val="false"/>
                <w:i/>
                <w:iCs/>
                <w:color w:val="8D8D8D"/>
                <w:sz w:val="18"/>
                <w:szCs w:val="18"/>
              </w:rPr>
              <w:t xml:space="preserve">Efficiency improvement vs. traditional delivery:</w:t>
            </w:r>
          </w:p>
          <w:tbl>
            <w:tblPr>
              <w:tblW w:type="dxa" w:w="4493"/>
              <w:tblBorders>
                <w:top w:val="none"/>
                <w:left w:val="none"/>
                <w:bottom w:val="none"/>
                <w:right w:val="none"/>
                <w:insideH w:val="single" w:color="auto" w:sz="4"/>
                <w:insideV w:val="single" w:color="auto" w:sz="4"/>
              </w:tblBorders>
              <w:tblLayout w:type="fixed"/>
            </w:tblPr>
            <w:tblGrid>
              <w:gridCol w:w="100"/>
              <w:gridCol w:w="100"/>
              <w:gridCol w:w="100"/>
              <w:gridCol w:w="100"/>
            </w:tblGrid>
            <w:tr>
              <w:tc>
                <w:tcPr>
                  <w:tcW w:type="dxa" w:w="2200"/>
                  <w:tcBorders>
                    <w:top w:val="none"/>
                    <w:left w:val="none"/>
                    <w:bottom w:val="none"/>
                    <w:right w:val="none"/>
                  </w:tcBorders>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AI-assisted coding</w:t>
                  </w:r>
                </w:p>
              </w:tc>
              <w:tc>
                <w:tcPr>
                  <w:tcW w:type="dxa" w:w="3360"/>
                  <w:tcBorders>
                    <w:top w:val="none"/>
                    <w:left w:val="none"/>
                    <w:bottom w:val="none"/>
                    <w:right w:val="none"/>
                  </w:tcBorders>
                  <w:shd w:fill="0F62FE"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840"/>
                  <w:tcBorders>
                    <w:top w:val="none"/>
                    <w:left w:val="none"/>
                    <w:bottom w:val="none"/>
                    <w:right w:val="none"/>
                  </w:tcBorders>
                  <w:shd w:fill="E0E0E0"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1560"/>
                  <w:tcBorders>
                    <w:top w:val="none"/>
                    <w:left w:val="none"/>
                    <w:bottom w:val="none"/>
                    <w:right w:val="none"/>
                  </w:tcBorders>
                  <w:tcMar>
                    <w:top w:type="dxa" w:w="40"/>
                    <w:left w:type="dxa" w:w="80"/>
                    <w:bottom w:type="dxa" w:w="40"/>
                  </w:tcMar>
                  <w:vAlign w:val="center"/>
                </w:tcPr>
                <w:p>
                  <w:pPr>
                    <w:spacing w:after="0" w:before="0"/>
                    <w:jc w:val="right"/>
                  </w:pPr>
                  <w:r>
                    <w:rPr>
                      <w:rFonts w:ascii="Calibri" w:cs="Calibri" w:eastAsia="Calibri" w:hAnsi="Calibri"/>
                      <w:b/>
                      <w:bCs/>
                      <w:i w:val="false"/>
                      <w:iCs w:val="false"/>
                      <w:color w:val="0F62FE"/>
                      <w:sz w:val="18"/>
                      <w:szCs w:val="18"/>
                    </w:rPr>
                    <w:t xml:space="preserve">+30% capacity</w:t>
                  </w:r>
                </w:p>
              </w:tc>
            </w:tr>
            <w:tr>
              <w:tc>
                <w:tcPr>
                  <w:tcW w:type="dxa" w:w="2200"/>
                  <w:tcBorders>
                    <w:top w:val="none"/>
                    <w:left w:val="none"/>
                    <w:bottom w:val="none"/>
                    <w:right w:val="none"/>
                  </w:tcBorders>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Automated QE generation</w:t>
                  </w:r>
                </w:p>
              </w:tc>
              <w:tc>
                <w:tcPr>
                  <w:tcW w:type="dxa" w:w="3150"/>
                  <w:tcBorders>
                    <w:top w:val="none"/>
                    <w:left w:val="none"/>
                    <w:bottom w:val="none"/>
                    <w:right w:val="none"/>
                  </w:tcBorders>
                  <w:shd w:fill="007D79"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1050"/>
                  <w:tcBorders>
                    <w:top w:val="none"/>
                    <w:left w:val="none"/>
                    <w:bottom w:val="none"/>
                    <w:right w:val="none"/>
                  </w:tcBorders>
                  <w:shd w:fill="E0E0E0"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1560"/>
                  <w:tcBorders>
                    <w:top w:val="none"/>
                    <w:left w:val="none"/>
                    <w:bottom w:val="none"/>
                    <w:right w:val="none"/>
                  </w:tcBorders>
                  <w:tcMar>
                    <w:top w:type="dxa" w:w="40"/>
                    <w:left w:type="dxa" w:w="80"/>
                    <w:bottom w:type="dxa" w:w="40"/>
                  </w:tcMar>
                  <w:vAlign w:val="center"/>
                </w:tcPr>
                <w:p>
                  <w:pPr>
                    <w:spacing w:after="0" w:before="0"/>
                    <w:jc w:val="right"/>
                  </w:pPr>
                  <w:r>
                    <w:rPr>
                      <w:rFonts w:ascii="Calibri" w:cs="Calibri" w:eastAsia="Calibri" w:hAnsi="Calibri"/>
                      <w:b/>
                      <w:bCs/>
                      <w:i w:val="false"/>
                      <w:iCs w:val="false"/>
                      <w:color w:val="007D79"/>
                      <w:sz w:val="18"/>
                      <w:szCs w:val="18"/>
                    </w:rPr>
                    <w:t xml:space="preserve">+25% QE speed</w:t>
                  </w:r>
                </w:p>
              </w:tc>
            </w:tr>
            <w:tr>
              <w:tc>
                <w:tcPr>
                  <w:tcW w:type="dxa" w:w="2200"/>
                  <w:tcBorders>
                    <w:top w:val="none"/>
                    <w:left w:val="none"/>
                    <w:bottom w:val="none"/>
                    <w:right w:val="none"/>
                  </w:tcBorders>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Risk-scored deployments</w:t>
                  </w:r>
                </w:p>
              </w:tc>
              <w:tc>
                <w:tcPr>
                  <w:tcW w:type="dxa" w:w="2940"/>
                  <w:tcBorders>
                    <w:top w:val="none"/>
                    <w:left w:val="none"/>
                    <w:bottom w:val="none"/>
                    <w:right w:val="none"/>
                  </w:tcBorders>
                  <w:shd w:fill="0043CE"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1260"/>
                  <w:tcBorders>
                    <w:top w:val="none"/>
                    <w:left w:val="none"/>
                    <w:bottom w:val="none"/>
                    <w:right w:val="none"/>
                  </w:tcBorders>
                  <w:shd w:fill="E0E0E0"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1560"/>
                  <w:tcBorders>
                    <w:top w:val="none"/>
                    <w:left w:val="none"/>
                    <w:bottom w:val="none"/>
                    <w:right w:val="none"/>
                  </w:tcBorders>
                  <w:tcMar>
                    <w:top w:type="dxa" w:w="40"/>
                    <w:left w:type="dxa" w:w="80"/>
                    <w:bottom w:type="dxa" w:w="40"/>
                  </w:tcMar>
                  <w:vAlign w:val="center"/>
                </w:tcPr>
                <w:p>
                  <w:pPr>
                    <w:spacing w:after="0" w:before="0"/>
                    <w:jc w:val="right"/>
                  </w:pPr>
                  <w:r>
                    <w:rPr>
                      <w:rFonts w:ascii="Calibri" w:cs="Calibri" w:eastAsia="Calibri" w:hAnsi="Calibri"/>
                      <w:b/>
                      <w:bCs/>
                      <w:i w:val="false"/>
                      <w:iCs w:val="false"/>
                      <w:color w:val="0043CE"/>
                      <w:sz w:val="18"/>
                      <w:szCs w:val="18"/>
                    </w:rPr>
                    <w:t xml:space="preserve">−60% failures</w:t>
                  </w:r>
                </w:p>
              </w:tc>
            </w:tr>
            <w:tr>
              <w:tc>
                <w:tcPr>
                  <w:tcW w:type="dxa" w:w="2200"/>
                  <w:tcBorders>
                    <w:top w:val="none"/>
                    <w:left w:val="none"/>
                    <w:bottom w:val="none"/>
                    <w:right w:val="none"/>
                  </w:tcBorders>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Modernisation-in-stride</w:t>
                  </w:r>
                </w:p>
              </w:tc>
              <w:tc>
                <w:tcPr>
                  <w:tcW w:type="dxa" w:w="2520"/>
                  <w:tcBorders>
                    <w:top w:val="none"/>
                    <w:left w:val="none"/>
                    <w:bottom w:val="none"/>
                    <w:right w:val="none"/>
                  </w:tcBorders>
                  <w:shd w:fill="6929C4"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1680"/>
                  <w:tcBorders>
                    <w:top w:val="none"/>
                    <w:left w:val="none"/>
                    <w:bottom w:val="none"/>
                    <w:right w:val="none"/>
                  </w:tcBorders>
                  <w:shd w:fill="E0E0E0"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1560"/>
                  <w:tcBorders>
                    <w:top w:val="none"/>
                    <w:left w:val="none"/>
                    <w:bottom w:val="none"/>
                    <w:right w:val="none"/>
                  </w:tcBorders>
                  <w:tcMar>
                    <w:top w:type="dxa" w:w="40"/>
                    <w:left w:type="dxa" w:w="80"/>
                    <w:bottom w:type="dxa" w:w="40"/>
                  </w:tcMar>
                  <w:vAlign w:val="center"/>
                </w:tcPr>
                <w:p>
                  <w:pPr>
                    <w:spacing w:after="0" w:before="0"/>
                    <w:jc w:val="right"/>
                  </w:pPr>
                  <w:r>
                    <w:rPr>
                      <w:rFonts w:ascii="Calibri" w:cs="Calibri" w:eastAsia="Calibri" w:hAnsi="Calibri"/>
                      <w:b/>
                      <w:bCs/>
                      <w:i w:val="false"/>
                      <w:iCs w:val="false"/>
                      <w:color w:val="6929C4"/>
                      <w:sz w:val="18"/>
                      <w:szCs w:val="18"/>
                    </w:rPr>
                    <w:t xml:space="preserve">Debt −30%/yr</w:t>
                  </w:r>
                </w:p>
              </w:tc>
            </w:tr>
            <w:tr>
              <w:tc>
                <w:tcPr>
                  <w:tcW w:type="dxa" w:w="2200"/>
                  <w:tcBorders>
                    <w:top w:val="none"/>
                    <w:left w:val="none"/>
                    <w:bottom w:val="none"/>
                    <w:right w:val="none"/>
                  </w:tcBorders>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Domain pod alignment</w:t>
                  </w:r>
                </w:p>
              </w:tc>
              <w:tc>
                <w:tcPr>
                  <w:tcW w:type="dxa" w:w="2730"/>
                  <w:tcBorders>
                    <w:top w:val="none"/>
                    <w:left w:val="none"/>
                    <w:bottom w:val="none"/>
                    <w:right w:val="none"/>
                  </w:tcBorders>
                  <w:shd w:fill="005D5D"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1470"/>
                  <w:tcBorders>
                    <w:top w:val="none"/>
                    <w:left w:val="none"/>
                    <w:bottom w:val="none"/>
                    <w:right w:val="none"/>
                  </w:tcBorders>
                  <w:shd w:fill="E0E0E0"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1560"/>
                  <w:tcBorders>
                    <w:top w:val="none"/>
                    <w:left w:val="none"/>
                    <w:bottom w:val="none"/>
                    <w:right w:val="none"/>
                  </w:tcBorders>
                  <w:tcMar>
                    <w:top w:type="dxa" w:w="40"/>
                    <w:left w:type="dxa" w:w="80"/>
                    <w:bottom w:type="dxa" w:w="40"/>
                  </w:tcMar>
                  <w:vAlign w:val="center"/>
                </w:tcPr>
                <w:p>
                  <w:pPr>
                    <w:spacing w:after="0" w:before="0"/>
                    <w:jc w:val="right"/>
                  </w:pPr>
                  <w:r>
                    <w:rPr>
                      <w:rFonts w:ascii="Calibri" w:cs="Calibri" w:eastAsia="Calibri" w:hAnsi="Calibri"/>
                      <w:b/>
                      <w:bCs/>
                      <w:i w:val="false"/>
                      <w:iCs w:val="false"/>
                      <w:color w:val="005D5D"/>
                      <w:sz w:val="18"/>
                      <w:szCs w:val="18"/>
                    </w:rPr>
                    <w:t xml:space="preserve">−40% handoffs</w:t>
                  </w:r>
                </w:p>
              </w:tc>
            </w:tr>
          </w:tbl>
          <w:p>
            <w:pPr>
              <w:spacing w:after="100" w:before="0"/>
            </w:pPr>
            <w:r>
              <w:rPr>
                <w:rFonts w:ascii="Calibri" w:cs="Calibri" w:eastAsia="Calibri" w:hAnsi="Calibri"/>
                <w:b w:val="false"/>
                <w:bCs w:val="false"/>
                <w:i w:val="false"/>
                <w:iCs w:val="false"/>
                <w:color w:val="161616"/>
                <w:sz w:val="21"/>
                <w:szCs w:val="21"/>
              </w:rPr>
              <w:t xml:space="preserve"/>
            </w:r>
          </w:p>
          <w:tbl>
            <w:tblPr>
              <w:tblW w:type="dxa" w:w="4493"/>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dxa" w:w="2621"/>
                  <w:tcBorders>
                    <w:top w:val="single" w:color="0F62FE" w:sz="6"/>
                    <w:left w:val="single" w:color="E0E0E0" w:sz="2"/>
                    <w:bottom w:val="single" w:color="0F62FE" w:sz="3"/>
                    <w:right w:val="single" w:color="E0E0E0" w:sz="2"/>
                  </w:tcBorders>
                  <w:shd w:fill="D0E2FF" w:val="solid"/>
                  <w:tcMar>
                    <w:top w:type="dxa" w:w="40"/>
                    <w:left w:type="dxa" w:w="120"/>
                    <w:bottom w:type="dxa" w:w="40"/>
                    <w:right w:type="dxa" w:w="120"/>
                  </w:tcMar>
                </w:tcPr>
                <w:p>
                  <w:pPr>
                    <w:spacing w:after="60" w:before="60"/>
                  </w:pPr>
                  <w:r>
                    <w:rPr>
                      <w:rFonts w:ascii="Calibri" w:cs="Calibri" w:eastAsia="Calibri" w:hAnsi="Calibri"/>
                      <w:b/>
                      <w:bCs/>
                      <w:i w:val="false"/>
                      <w:iCs w:val="false"/>
                      <w:color w:val="001141"/>
                      <w:sz w:val="19"/>
                      <w:szCs w:val="19"/>
                    </w:rPr>
                    <w:t xml:space="preserve">Delivery Metric</w:t>
                  </w:r>
                </w:p>
              </w:tc>
              <w:tc>
                <w:tcPr>
                  <w:tcW w:type="dxa" w:w="1872"/>
                  <w:tcBorders>
                    <w:top w:val="single" w:color="0F62FE" w:sz="6"/>
                    <w:left w:val="single" w:color="E0E0E0" w:sz="2"/>
                    <w:bottom w:val="single" w:color="0F62FE" w:sz="3"/>
                    <w:right w:val="single" w:color="E0E0E0" w:sz="2"/>
                  </w:tcBorders>
                  <w:shd w:fill="D0E2FF" w:val="solid"/>
                  <w:tcMar>
                    <w:top w:type="dxa" w:w="40"/>
                    <w:left w:type="dxa" w:w="120"/>
                    <w:bottom w:type="dxa" w:w="40"/>
                    <w:right w:type="dxa" w:w="120"/>
                  </w:tcMar>
                </w:tcPr>
                <w:p>
                  <w:pPr>
                    <w:spacing w:after="60" w:before="60"/>
                  </w:pPr>
                  <w:r>
                    <w:rPr>
                      <w:rFonts w:ascii="Calibri" w:cs="Calibri" w:eastAsia="Calibri" w:hAnsi="Calibri"/>
                      <w:b/>
                      <w:bCs/>
                      <w:i w:val="false"/>
                      <w:iCs w:val="false"/>
                      <w:color w:val="001141"/>
                      <w:sz w:val="19"/>
                      <w:szCs w:val="19"/>
                    </w:rPr>
                    <w:t xml:space="preserve">12-Month Target</w:t>
                  </w:r>
                </w:p>
              </w:tc>
            </w:tr>
            <w:tr>
              <w:tc>
                <w:tcPr>
                  <w:tcW w:type="dxa" w:w="2621"/>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Time-to-market</w:t>
                  </w:r>
                </w:p>
              </w:tc>
              <w:tc>
                <w:tcPr>
                  <w:tcW w:type="dxa" w:w="1872"/>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25–40% faster</w:t>
                  </w:r>
                </w:p>
              </w:tc>
            </w:tr>
            <w:tr>
              <w:tc>
                <w:tcPr>
                  <w:tcW w:type="dxa" w:w="2621"/>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Deployment frequency</w:t>
                  </w:r>
                </w:p>
              </w:tc>
              <w:tc>
                <w:tcPr>
                  <w:tcW w:type="dxa" w:w="1872"/>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2× current pace</w:t>
                  </w:r>
                </w:p>
              </w:tc>
            </w:tr>
            <w:tr>
              <w:tc>
                <w:tcPr>
                  <w:tcW w:type="dxa" w:w="2621"/>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Change failure rate</w:t>
                  </w:r>
                </w:p>
              </w:tc>
              <w:tc>
                <w:tcPr>
                  <w:tcW w:type="dxa" w:w="1872"/>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−60%</w:t>
                  </w:r>
                </w:p>
              </w:tc>
            </w:tr>
            <w:tr>
              <w:tc>
                <w:tcPr>
                  <w:tcW w:type="dxa" w:w="2621"/>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Rollback / recovery</w:t>
                  </w:r>
                </w:p>
              </w:tc>
              <w:tc>
                <w:tcPr>
                  <w:tcW w:type="dxa" w:w="1872"/>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&lt;15 minutes</w:t>
                  </w:r>
                </w:p>
              </w:tc>
            </w:tr>
          </w:tbl>
          <w:p/>
        </w:tc>
      </w:tr>
    </w:tbl>
    <w:p>
      <w:pPr>
        <w:spacing w:after="0" w:before="0"/>
      </w:pPr>
      <w:r>
        <w:br w:type="page"/>
      </w:r>
    </w:p>
    <w:p>
      <w:pPr>
        <w:pBdr>
          <w:top w:val="single" w:color="0F62FE" w:sz="12" w:space="6"/>
        </w:pBdr>
        <w:spacing w:after="20" w:before="240"/>
      </w:pPr>
    </w:p>
    <w:p>
      <w:pPr>
        <w:spacing w:after="20" w:before="20"/>
      </w:pPr>
      <w:r>
        <w:rPr>
          <w:rFonts w:ascii="Calibri" w:cs="Calibri" w:eastAsia="Calibri" w:hAnsi="Calibri"/>
          <w:b/>
          <w:bCs/>
          <w:i w:val="false"/>
          <w:iCs w:val="false"/>
          <w:color w:val="0F62FE"/>
          <w:sz w:val="16"/>
          <w:szCs w:val="16"/>
        </w:rPr>
        <w:t xml:space="preserve">4.0  </w:t>
      </w:r>
      <w:r>
        <w:rPr>
          <w:rFonts w:ascii="Calibri" w:cs="Calibri" w:eastAsia="Calibri" w:hAnsi="Calibri"/>
          <w:b/>
          <w:bCs/>
          <w:i w:val="false"/>
          <w:iCs w:val="false"/>
          <w:color w:val="001141"/>
          <w:sz w:val="26"/>
          <w:szCs w:val="26"/>
        </w:rPr>
        <w:t xml:space="preserve">QUALITY ENGINEERING</w:t>
      </w:r>
      <w:r>
        <w:rPr>
          <w:rFonts w:ascii="Calibri" w:cs="Calibri" w:eastAsia="Calibri" w:hAnsi="Calibri"/>
          <w:b w:val="false"/>
          <w:bCs w:val="false"/>
          <w:i/>
          <w:iCs/>
          <w:color w:val="8D8D8D"/>
          <w:sz w:val="19"/>
          <w:szCs w:val="19"/>
        </w:rPr>
        <w:t xml:space="preserve">   Quality is a continuous signal — not a final checkpoint.</w:t>
      </w:r>
    </w:p>
    <w:p>
      <w:pPr>
        <w:spacing w:after="80" w:before="0"/>
      </w:pPr>
      <w:r>
        <w:rPr>
          <w:rFonts w:ascii="Calibri" w:cs="Calibri" w:eastAsia="Calibri" w:hAnsi="Calibri"/>
          <w:b w:val="false"/>
          <w:bCs w:val="false"/>
          <w:i w:val="false"/>
          <w:iCs w:val="false"/>
          <w:color w:val="161616"/>
          <w:sz w:val="21"/>
          <w:szCs w:val="21"/>
        </w:rPr>
        <w:t xml:space="preserve"/>
      </w:r>
    </w:p>
    <w:p>
      <w:pPr>
        <w:spacing w:after="40" w:before="80"/>
        <w:ind w:left="720" w:right="720"/>
        <w:jc w:val="center"/>
      </w:pPr>
      <w:r>
        <w:rPr>
          <w:rFonts w:ascii="Calibri" w:cs="Calibri" w:eastAsia="Calibri" w:hAnsi="Calibri"/>
          <w:b w:val="false"/>
          <w:bCs w:val="false"/>
          <w:i/>
          <w:iCs/>
          <w:color w:val="001141"/>
          <w:sz w:val="23"/>
          <w:szCs w:val="23"/>
        </w:rPr>
        <w:t xml:space="preserve">“Every defect that reaches production is a promise broken to someone: a provider whose claim was processed incorrectly, a member whose benefits were delayed, a payer whose SLA was missed. IBM’s quality engine is designed so that defect never leaves the building.”</w:t>
      </w:r>
    </w:p>
    <w:p>
      <w:pPr>
        <w:spacing w:after="100" w:before="0"/>
        <w:jc w:val="center"/>
      </w:pPr>
      <w:r>
        <w:rPr>
          <w:rFonts w:ascii="Calibri" w:cs="Calibri" w:eastAsia="Calibri" w:hAnsi="Calibri"/>
          <w:b/>
          <w:bCs/>
          <w:i w:val="false"/>
          <w:iCs w:val="false"/>
          <w:color w:val="0F62FE"/>
          <w:sz w:val="18"/>
          <w:szCs w:val="18"/>
        </w:rPr>
        <w:t xml:space="preserve">— IBM Quality Engineering — Shift-Left Framework</w:t>
      </w:r>
    </w:p>
    <w:p>
      <w:pPr>
        <w:pBdr>
          <w:bottom w:val="single" w:color="A6C8FF" w:sz="4" w:space="0"/>
        </w:pBdr>
        <w:spacing w:after="100" w:before="0"/>
        <w:ind w:left="2160" w:right="2160"/>
      </w:pPr>
    </w:p>
    <w:tbl>
      <w:tblPr>
        <w:tblW w:type="dxa" w:w="9360"/>
        <w:tblBorders>
          <w:top w:val="none"/>
          <w:left w:val="none"/>
          <w:bottom w:val="none"/>
          <w:right w:val="none"/>
          <w:insideH w:val="single" w:color="auto" w:sz="4"/>
          <w:insideV w:val="single" w:color="auto" w:sz="4"/>
        </w:tblBorders>
        <w:tblLayout w:type="fixed"/>
      </w:tblPr>
      <w:tblGrid>
        <w:gridCol w:w="100"/>
        <w:gridCol w:w="100"/>
        <w:gridCol w:w="100"/>
      </w:tblGrid>
      <w:tr>
        <w:tc>
          <w:tcPr>
            <w:tcW w:type="dxa" w:w="4493"/>
            <w:tcBorders>
              <w:top w:val="none"/>
              <w:left w:val="none"/>
              <w:bottom w:val="none"/>
              <w:right w:val="none"/>
            </w:tcBorders>
            <w:tcMar>
              <w:right w:type="dxa" w:w="160"/>
            </w:tcMar>
          </w:tcPr>
          <w:p>
            <w:pPr>
              <w:spacing w:after="60" w:before="0"/>
            </w:pPr>
            <w:r>
              <w:rPr>
                <w:rFonts w:ascii="Calibri" w:cs="Calibri" w:eastAsia="Calibri" w:hAnsi="Calibri"/>
                <w:b/>
                <w:bCs/>
                <w:i w:val="false"/>
                <w:iCs w:val="false"/>
                <w:color w:val="001141"/>
                <w:sz w:val="21"/>
                <w:szCs w:val="21"/>
              </w:rPr>
              <w:t xml:space="preserve">The Four Quality Layers</w:t>
            </w:r>
          </w:p>
          <w:p>
            <w:pPr>
              <w:spacing w:after="40" w:before="100"/>
            </w:pPr>
            <w:r>
              <w:rPr>
                <w:rFonts w:ascii="Calibri" w:cs="Calibri" w:eastAsia="Calibri" w:hAnsi="Calibri"/>
                <w:b/>
                <w:bCs/>
                <w:i w:val="false"/>
                <w:iCs w:val="false"/>
                <w:color w:val="0F62FE"/>
                <w:sz w:val="21"/>
                <w:szCs w:val="21"/>
              </w:rPr>
              <w:t xml:space="preserve">Commit-Level AI Review</w:t>
            </w:r>
          </w:p>
          <w:p>
            <w:pPr>
              <w:spacing w:after="20" w:before="0"/>
            </w:pPr>
            <w:r>
              <w:rPr>
                <w:rFonts w:ascii="Calibri" w:cs="Calibri" w:eastAsia="Calibri" w:hAnsi="Calibri"/>
                <w:b w:val="false"/>
                <w:bCs w:val="false"/>
                <w:i w:val="false"/>
                <w:iCs w:val="false"/>
                <w:color w:val="525252"/>
                <w:sz w:val="19"/>
                <w:szCs w:val="19"/>
              </w:rPr>
              <w:t xml:space="preserve">The instant a developer pushes code, AI reviews it — flagging security risk, test gaps, and quality anti-patterns before any human sees the PR.</w:t>
            </w:r>
          </w:p>
          <w:p>
            <w:pPr>
              <w:spacing w:after="40" w:before="100"/>
            </w:pPr>
            <w:r>
              <w:rPr>
                <w:rFonts w:ascii="Calibri" w:cs="Calibri" w:eastAsia="Calibri" w:hAnsi="Calibri"/>
                <w:b/>
                <w:bCs/>
                <w:i w:val="false"/>
                <w:iCs w:val="false"/>
                <w:color w:val="0F62FE"/>
                <w:sz w:val="21"/>
                <w:szCs w:val="21"/>
              </w:rPr>
              <w:t xml:space="preserve">GenAI Test Generation</w:t>
            </w:r>
          </w:p>
          <w:p>
            <w:pPr>
              <w:spacing w:after="20" w:before="0"/>
            </w:pPr>
            <w:r>
              <w:rPr>
                <w:rFonts w:ascii="Calibri" w:cs="Calibri" w:eastAsia="Calibri" w:hAnsi="Calibri"/>
                <w:b w:val="false"/>
                <w:bCs w:val="false"/>
                <w:i w:val="false"/>
                <w:iCs w:val="false"/>
                <w:color w:val="525252"/>
                <w:sz w:val="19"/>
                <w:szCs w:val="19"/>
              </w:rPr>
              <w:t xml:space="preserve">AI synthesises regression, integration, and edge-case tests from code changes at commit speed. Coverage grows automatically — no manual test authoring.</w:t>
            </w:r>
          </w:p>
          <w:p>
            <w:pPr>
              <w:spacing w:after="40" w:before="100"/>
            </w:pPr>
            <w:r>
              <w:rPr>
                <w:rFonts w:ascii="Calibri" w:cs="Calibri" w:eastAsia="Calibri" w:hAnsi="Calibri"/>
                <w:b/>
                <w:bCs/>
                <w:i w:val="false"/>
                <w:iCs w:val="false"/>
                <w:color w:val="0F62FE"/>
                <w:sz w:val="21"/>
                <w:szCs w:val="21"/>
              </w:rPr>
              <w:t xml:space="preserve">Defect Prediction</w:t>
            </w:r>
          </w:p>
          <w:p>
            <w:pPr>
              <w:spacing w:after="20" w:before="0"/>
            </w:pPr>
            <w:r>
              <w:rPr>
                <w:rFonts w:ascii="Calibri" w:cs="Calibri" w:eastAsia="Calibri" w:hAnsi="Calibri"/>
                <w:b w:val="false"/>
                <w:bCs w:val="false"/>
                <w:i w:val="false"/>
                <w:iCs w:val="false"/>
                <w:color w:val="525252"/>
                <w:sz w:val="19"/>
                <w:szCs w:val="19"/>
              </w:rPr>
              <w:t xml:space="preserve">AI models trained on Horizon’s own incident history identify high-risk code paths before they reach UAT. Fewer defects reach staging; far fewer reach production.</w:t>
            </w:r>
          </w:p>
          <w:p>
            <w:pPr>
              <w:spacing w:after="40" w:before="100"/>
            </w:pPr>
            <w:r>
              <w:rPr>
                <w:rFonts w:ascii="Calibri" w:cs="Calibri" w:eastAsia="Calibri" w:hAnsi="Calibri"/>
                <w:b/>
                <w:bCs/>
                <w:i w:val="false"/>
                <w:iCs w:val="false"/>
                <w:color w:val="0F62FE"/>
                <w:sz w:val="21"/>
                <w:szCs w:val="21"/>
              </w:rPr>
              <w:t xml:space="preserve">Production Feedback Loop</w:t>
            </w:r>
          </w:p>
          <w:p>
            <w:pPr>
              <w:spacing w:after="20" w:before="0"/>
            </w:pPr>
            <w:r>
              <w:rPr>
                <w:rFonts w:ascii="Calibri" w:cs="Calibri" w:eastAsia="Calibri" w:hAnsi="Calibri"/>
                <w:b w:val="false"/>
                <w:bCs w:val="false"/>
                <w:i w:val="false"/>
                <w:iCs w:val="false"/>
                <w:color w:val="525252"/>
                <w:sz w:val="19"/>
                <w:szCs w:val="19"/>
              </w:rPr>
              <w:t xml:space="preserve">Every production defect teaches the quality engine. The test suite improves with every release — a tightening net that never stays static.</w:t>
            </w:r>
          </w:p>
          <w:p>
            <w:pPr>
              <w:spacing w:after="80" w:before="0"/>
            </w:pPr>
            <w:r>
              <w:rPr>
                <w:rFonts w:ascii="Calibri" w:cs="Calibri" w:eastAsia="Calibri" w:hAnsi="Calibri"/>
                <w:b w:val="false"/>
                <w:bCs w:val="false"/>
                <w:i w:val="false"/>
                <w:iCs w:val="false"/>
                <w:color w:val="161616"/>
                <w:sz w:val="21"/>
                <w:szCs w:val="21"/>
              </w:rPr>
              <w:t xml:space="preserve"/>
            </w:r>
          </w:p>
          <w:tbl>
            <w:tblPr>
              <w:tblW w:type="dxa" w:w="4493"/>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tcW w:type="dxa" w:w="2246"/>
                  <w:tcBorders>
                    <w:top w:val="single" w:color="0F62FE" w:sz="6"/>
                    <w:left w:val="single" w:color="E0E0E0" w:sz="2"/>
                    <w:bottom w:val="single" w:color="0F62FE" w:sz="3"/>
                    <w:right w:val="single" w:color="E0E0E0" w:sz="2"/>
                  </w:tcBorders>
                  <w:shd w:fill="D0E2FF" w:val="solid"/>
                  <w:tcMar>
                    <w:top w:type="dxa" w:w="40"/>
                    <w:left w:type="dxa" w:w="120"/>
                    <w:bottom w:type="dxa" w:w="40"/>
                    <w:right w:type="dxa" w:w="120"/>
                  </w:tcMar>
                </w:tcPr>
                <w:p>
                  <w:pPr>
                    <w:spacing w:after="60" w:before="60"/>
                  </w:pPr>
                  <w:r>
                    <w:rPr>
                      <w:rFonts w:ascii="Calibri" w:cs="Calibri" w:eastAsia="Calibri" w:hAnsi="Calibri"/>
                      <w:b/>
                      <w:bCs/>
                      <w:i w:val="false"/>
                      <w:iCs w:val="false"/>
                      <w:color w:val="001141"/>
                      <w:sz w:val="19"/>
                      <w:szCs w:val="19"/>
                    </w:rPr>
                    <w:t xml:space="preserve">QE Metric</w:t>
                  </w:r>
                </w:p>
              </w:tc>
              <w:tc>
                <w:tcPr>
                  <w:tcW w:type="dxa" w:w="936"/>
                  <w:tcBorders>
                    <w:top w:val="single" w:color="0F62FE" w:sz="6"/>
                    <w:left w:val="single" w:color="E0E0E0" w:sz="2"/>
                    <w:bottom w:val="single" w:color="0F62FE" w:sz="3"/>
                    <w:right w:val="single" w:color="E0E0E0" w:sz="2"/>
                  </w:tcBorders>
                  <w:shd w:fill="D0E2FF" w:val="solid"/>
                  <w:tcMar>
                    <w:top w:type="dxa" w:w="40"/>
                    <w:left w:type="dxa" w:w="120"/>
                    <w:bottom w:type="dxa" w:w="40"/>
                    <w:right w:type="dxa" w:w="120"/>
                  </w:tcMar>
                </w:tcPr>
                <w:p>
                  <w:pPr>
                    <w:spacing w:after="60" w:before="60"/>
                  </w:pPr>
                  <w:r>
                    <w:rPr>
                      <w:rFonts w:ascii="Calibri" w:cs="Calibri" w:eastAsia="Calibri" w:hAnsi="Calibri"/>
                      <w:b/>
                      <w:bCs/>
                      <w:i w:val="false"/>
                      <w:iCs w:val="false"/>
                      <w:color w:val="001141"/>
                      <w:sz w:val="19"/>
                      <w:szCs w:val="19"/>
                    </w:rPr>
                    <w:t xml:space="preserve">Today</w:t>
                  </w:r>
                </w:p>
              </w:tc>
              <w:tc>
                <w:tcPr>
                  <w:tcW w:type="dxa" w:w="1310"/>
                  <w:tcBorders>
                    <w:top w:val="single" w:color="0F62FE" w:sz="6"/>
                    <w:left w:val="single" w:color="E0E0E0" w:sz="2"/>
                    <w:bottom w:val="single" w:color="0F62FE" w:sz="3"/>
                    <w:right w:val="single" w:color="E0E0E0" w:sz="2"/>
                  </w:tcBorders>
                  <w:shd w:fill="D0E2FF" w:val="solid"/>
                  <w:tcMar>
                    <w:top w:type="dxa" w:w="40"/>
                    <w:left w:type="dxa" w:w="120"/>
                    <w:bottom w:type="dxa" w:w="40"/>
                    <w:right w:type="dxa" w:w="120"/>
                  </w:tcMar>
                </w:tcPr>
                <w:p>
                  <w:pPr>
                    <w:spacing w:after="60" w:before="60"/>
                  </w:pPr>
                  <w:r>
                    <w:rPr>
                      <w:rFonts w:ascii="Calibri" w:cs="Calibri" w:eastAsia="Calibri" w:hAnsi="Calibri"/>
                      <w:b/>
                      <w:bCs/>
                      <w:i w:val="false"/>
                      <w:iCs w:val="false"/>
                      <w:color w:val="001141"/>
                      <w:sz w:val="19"/>
                      <w:szCs w:val="19"/>
                    </w:rPr>
                    <w:t xml:space="preserve">12-Month Target</w:t>
                  </w:r>
                </w:p>
              </w:tc>
            </w:tr>
            <w:tr>
              <w:tc>
                <w:tcPr>
                  <w:tcW w:type="dxa" w:w="2246"/>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Test automation coverage</w:t>
                  </w:r>
                </w:p>
              </w:tc>
              <w:tc>
                <w:tcPr>
                  <w:tcW w:type="dxa" w:w="936"/>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9"/>
                      <w:szCs w:val="19"/>
                    </w:rPr>
                    <w:t xml:space="preserve">~25%</w:t>
                  </w:r>
                </w:p>
              </w:tc>
              <w:tc>
                <w:tcPr>
                  <w:tcW w:type="dxa" w:w="1310"/>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80%+</w:t>
                  </w:r>
                </w:p>
              </w:tc>
            </w:tr>
            <w:tr>
              <w:tc>
                <w:tcPr>
                  <w:tcW w:type="dxa" w:w="2246"/>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Defect escape to production</w:t>
                  </w:r>
                </w:p>
              </w:tc>
              <w:tc>
                <w:tcPr>
                  <w:tcW w:type="dxa" w:w="936"/>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9"/>
                      <w:szCs w:val="19"/>
                    </w:rPr>
                    <w:t xml:space="preserve">High</w:t>
                  </w:r>
                </w:p>
              </w:tc>
              <w:tc>
                <w:tcPr>
                  <w:tcW w:type="dxa" w:w="1310"/>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−65%</w:t>
                  </w:r>
                </w:p>
              </w:tc>
            </w:tr>
            <w:tr>
              <w:tc>
                <w:tcPr>
                  <w:tcW w:type="dxa" w:w="2246"/>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Regression cycle time</w:t>
                  </w:r>
                </w:p>
              </w:tc>
              <w:tc>
                <w:tcPr>
                  <w:tcW w:type="dxa" w:w="936"/>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9"/>
                      <w:szCs w:val="19"/>
                    </w:rPr>
                    <w:t xml:space="preserve">Multi-day</w:t>
                  </w:r>
                </w:p>
              </w:tc>
              <w:tc>
                <w:tcPr>
                  <w:tcW w:type="dxa" w:w="1310"/>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−70%</w:t>
                  </w:r>
                </w:p>
              </w:tc>
            </w:tr>
            <w:tr>
              <w:tc>
                <w:tcPr>
                  <w:tcW w:type="dxa" w:w="2246"/>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Mean time to detect (MTTD)</w:t>
                  </w:r>
                </w:p>
              </w:tc>
              <w:tc>
                <w:tcPr>
                  <w:tcW w:type="dxa" w:w="936"/>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9"/>
                      <w:szCs w:val="19"/>
                    </w:rPr>
                    <w:t xml:space="preserve">&gt;2 hours</w:t>
                  </w:r>
                </w:p>
              </w:tc>
              <w:tc>
                <w:tcPr>
                  <w:tcW w:type="dxa" w:w="1310"/>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&lt;15 min</w:t>
                  </w:r>
                </w:p>
              </w:tc>
            </w:tr>
          </w:tbl>
          <w:p/>
        </w:tc>
        <w:tc>
          <w:tcPr>
            <w:tcW w:type="dxa" w:w="374"/>
            <w:tcBorders>
              <w:top w:val="none"/>
              <w:left w:val="none"/>
              <w:bottom w:val="none"/>
              <w:right w:val="none"/>
            </w:tcBorders>
          </w:tcPr>
          <w:p>
            <w:pPr>
              <w:spacing w:after="0" w:before="0"/>
            </w:pPr>
            <w:r>
              <w:rPr>
                <w:rFonts w:ascii="Calibri" w:cs="Calibri" w:eastAsia="Calibri" w:hAnsi="Calibri"/>
                <w:b w:val="false"/>
                <w:bCs w:val="false"/>
                <w:i w:val="false"/>
                <w:iCs w:val="false"/>
                <w:color w:val="161616"/>
                <w:sz w:val="21"/>
                <w:szCs w:val="21"/>
              </w:rPr>
              <w:t xml:space="preserve"/>
            </w:r>
          </w:p>
        </w:tc>
        <w:tc>
          <w:tcPr>
            <w:tcW w:type="dxa" w:w="4493"/>
            <w:tcBorders>
              <w:top w:val="none"/>
              <w:left w:val="none"/>
              <w:bottom w:val="none"/>
              <w:right w:val="none"/>
            </w:tcBorders>
            <w:tcMar>
              <w:left w:type="dxa" w:w="160"/>
            </w:tcMar>
          </w:tcPr>
          <w:p>
            <w:pPr>
              <w:spacing w:after="60" w:before="0"/>
            </w:pPr>
            <w:r>
              <w:rPr>
                <w:rFonts w:ascii="Calibri" w:cs="Calibri" w:eastAsia="Calibri" w:hAnsi="Calibri"/>
                <w:b/>
                <w:bCs/>
                <w:i w:val="false"/>
                <w:iCs w:val="false"/>
                <w:color w:val="001141"/>
                <w:sz w:val="21"/>
                <w:szCs w:val="21"/>
              </w:rPr>
              <w:t xml:space="preserve">Test Automation Coverage Journey</w:t>
            </w:r>
          </w:p>
          <w:p>
            <w:pPr>
              <w:spacing w:after="60" w:before="0"/>
            </w:pPr>
            <w:r>
              <w:rPr>
                <w:rFonts w:ascii="Calibri" w:cs="Calibri" w:eastAsia="Calibri" w:hAnsi="Calibri"/>
                <w:b w:val="false"/>
                <w:bCs w:val="false"/>
                <w:i/>
                <w:iCs/>
                <w:color w:val="8D8D8D"/>
                <w:sz w:val="18"/>
                <w:szCs w:val="18"/>
              </w:rPr>
              <w:t xml:space="preserve">Month-by-month progression to 80%+ coverage:</w:t>
            </w:r>
          </w:p>
          <w:tbl>
            <w:tblPr>
              <w:tblW w:type="dxa" w:w="4493"/>
              <w:tblBorders>
                <w:top w:val="none"/>
                <w:left w:val="none"/>
                <w:bottom w:val="none"/>
                <w:right w:val="none"/>
                <w:insideH w:val="single" w:color="auto" w:sz="4"/>
                <w:insideV w:val="single" w:color="auto" w:sz="4"/>
              </w:tblBorders>
              <w:tblLayout w:type="fixed"/>
            </w:tblPr>
            <w:tblGrid>
              <w:gridCol w:w="100"/>
              <w:gridCol w:w="100"/>
              <w:gridCol w:w="100"/>
              <w:gridCol w:w="100"/>
            </w:tblGrid>
            <w:tr>
              <w:tc>
                <w:tcPr>
                  <w:tcW w:type="dxa" w:w="2000"/>
                  <w:tcBorders>
                    <w:top w:val="none"/>
                    <w:left w:val="none"/>
                    <w:bottom w:val="none"/>
                    <w:right w:val="none"/>
                  </w:tcBorders>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0  — Baseline</w:t>
                  </w:r>
                </w:p>
              </w:tc>
              <w:tc>
                <w:tcPr>
                  <w:tcW w:type="dxa" w:w="1100"/>
                  <w:tcBorders>
                    <w:top w:val="none"/>
                    <w:left w:val="none"/>
                    <w:bottom w:val="none"/>
                    <w:right w:val="none"/>
                  </w:tcBorders>
                  <w:shd w:fill="8D8D8D"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3300"/>
                  <w:tcBorders>
                    <w:top w:val="none"/>
                    <w:left w:val="none"/>
                    <w:bottom w:val="none"/>
                    <w:right w:val="none"/>
                  </w:tcBorders>
                  <w:shd w:fill="E0E0E0"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1560"/>
                  <w:tcBorders>
                    <w:top w:val="none"/>
                    <w:left w:val="none"/>
                    <w:bottom w:val="none"/>
                    <w:right w:val="none"/>
                  </w:tcBorders>
                  <w:tcMar>
                    <w:top w:type="dxa" w:w="40"/>
                    <w:left w:type="dxa" w:w="80"/>
                    <w:bottom w:type="dxa" w:w="40"/>
                  </w:tcMar>
                  <w:vAlign w:val="center"/>
                </w:tcPr>
                <w:p>
                  <w:pPr>
                    <w:spacing w:after="0" w:before="0"/>
                    <w:jc w:val="right"/>
                  </w:pPr>
                  <w:r>
                    <w:rPr>
                      <w:rFonts w:ascii="Calibri" w:cs="Calibri" w:eastAsia="Calibri" w:hAnsi="Calibri"/>
                      <w:b/>
                      <w:bCs/>
                      <w:i w:val="false"/>
                      <w:iCs w:val="false"/>
                      <w:color w:val="8D8D8D"/>
                      <w:sz w:val="18"/>
                      <w:szCs w:val="18"/>
                    </w:rPr>
                    <w:t xml:space="preserve">~25%</w:t>
                  </w:r>
                </w:p>
              </w:tc>
            </w:tr>
            <w:tr>
              <w:tc>
                <w:tcPr>
                  <w:tcW w:type="dxa" w:w="2000"/>
                  <w:tcBorders>
                    <w:top w:val="none"/>
                    <w:left w:val="none"/>
                    <w:bottom w:val="none"/>
                    <w:right w:val="none"/>
                  </w:tcBorders>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3  — Ignite</w:t>
                  </w:r>
                </w:p>
              </w:tc>
              <w:tc>
                <w:tcPr>
                  <w:tcW w:type="dxa" w:w="1980"/>
                  <w:tcBorders>
                    <w:top w:val="none"/>
                    <w:left w:val="none"/>
                    <w:bottom w:val="none"/>
                    <w:right w:val="none"/>
                  </w:tcBorders>
                  <w:shd w:fill="0072C3"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2420"/>
                  <w:tcBorders>
                    <w:top w:val="none"/>
                    <w:left w:val="none"/>
                    <w:bottom w:val="none"/>
                    <w:right w:val="none"/>
                  </w:tcBorders>
                  <w:shd w:fill="E0E0E0"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1560"/>
                  <w:tcBorders>
                    <w:top w:val="none"/>
                    <w:left w:val="none"/>
                    <w:bottom w:val="none"/>
                    <w:right w:val="none"/>
                  </w:tcBorders>
                  <w:tcMar>
                    <w:top w:type="dxa" w:w="40"/>
                    <w:left w:type="dxa" w:w="80"/>
                    <w:bottom w:type="dxa" w:w="40"/>
                  </w:tcMar>
                  <w:vAlign w:val="center"/>
                </w:tcPr>
                <w:p>
                  <w:pPr>
                    <w:spacing w:after="0" w:before="0"/>
                    <w:jc w:val="right"/>
                  </w:pPr>
                  <w:r>
                    <w:rPr>
                      <w:rFonts w:ascii="Calibri" w:cs="Calibri" w:eastAsia="Calibri" w:hAnsi="Calibri"/>
                      <w:b/>
                      <w:bCs/>
                      <w:i w:val="false"/>
                      <w:iCs w:val="false"/>
                      <w:color w:val="0072C3"/>
                      <w:sz w:val="18"/>
                      <w:szCs w:val="18"/>
                    </w:rPr>
                    <w:t xml:space="preserve">45%</w:t>
                  </w:r>
                </w:p>
              </w:tc>
            </w:tr>
            <w:tr>
              <w:tc>
                <w:tcPr>
                  <w:tcW w:type="dxa" w:w="2000"/>
                  <w:tcBorders>
                    <w:top w:val="none"/>
                    <w:left w:val="none"/>
                    <w:bottom w:val="none"/>
                    <w:right w:val="none"/>
                  </w:tcBorders>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6  — Scale</w:t>
                  </w:r>
                </w:p>
              </w:tc>
              <w:tc>
                <w:tcPr>
                  <w:tcW w:type="dxa" w:w="2728"/>
                  <w:tcBorders>
                    <w:top w:val="none"/>
                    <w:left w:val="none"/>
                    <w:bottom w:val="none"/>
                    <w:right w:val="none"/>
                  </w:tcBorders>
                  <w:shd w:fill="0043CE"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1672"/>
                  <w:tcBorders>
                    <w:top w:val="none"/>
                    <w:left w:val="none"/>
                    <w:bottom w:val="none"/>
                    <w:right w:val="none"/>
                  </w:tcBorders>
                  <w:shd w:fill="E0E0E0"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1560"/>
                  <w:tcBorders>
                    <w:top w:val="none"/>
                    <w:left w:val="none"/>
                    <w:bottom w:val="none"/>
                    <w:right w:val="none"/>
                  </w:tcBorders>
                  <w:tcMar>
                    <w:top w:type="dxa" w:w="40"/>
                    <w:left w:type="dxa" w:w="80"/>
                    <w:bottom w:type="dxa" w:w="40"/>
                  </w:tcMar>
                  <w:vAlign w:val="center"/>
                </w:tcPr>
                <w:p>
                  <w:pPr>
                    <w:spacing w:after="0" w:before="0"/>
                    <w:jc w:val="right"/>
                  </w:pPr>
                  <w:r>
                    <w:rPr>
                      <w:rFonts w:ascii="Calibri" w:cs="Calibri" w:eastAsia="Calibri" w:hAnsi="Calibri"/>
                      <w:b/>
                      <w:bCs/>
                      <w:i w:val="false"/>
                      <w:iCs w:val="false"/>
                      <w:color w:val="0043CE"/>
                      <w:sz w:val="18"/>
                      <w:szCs w:val="18"/>
                    </w:rPr>
                    <w:t xml:space="preserve">62%</w:t>
                  </w:r>
                </w:p>
              </w:tc>
            </w:tr>
            <w:tr>
              <w:tc>
                <w:tcPr>
                  <w:tcW w:type="dxa" w:w="2000"/>
                  <w:tcBorders>
                    <w:top w:val="none"/>
                    <w:left w:val="none"/>
                    <w:bottom w:val="none"/>
                    <w:right w:val="none"/>
                  </w:tcBorders>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9  — Optimise</w:t>
                  </w:r>
                </w:p>
              </w:tc>
              <w:tc>
                <w:tcPr>
                  <w:tcW w:type="dxa" w:w="3300"/>
                  <w:tcBorders>
                    <w:top w:val="none"/>
                    <w:left w:val="none"/>
                    <w:bottom w:val="none"/>
                    <w:right w:val="none"/>
                  </w:tcBorders>
                  <w:shd w:fill="0F62FE"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1100"/>
                  <w:tcBorders>
                    <w:top w:val="none"/>
                    <w:left w:val="none"/>
                    <w:bottom w:val="none"/>
                    <w:right w:val="none"/>
                  </w:tcBorders>
                  <w:shd w:fill="E0E0E0"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1560"/>
                  <w:tcBorders>
                    <w:top w:val="none"/>
                    <w:left w:val="none"/>
                    <w:bottom w:val="none"/>
                    <w:right w:val="none"/>
                  </w:tcBorders>
                  <w:tcMar>
                    <w:top w:type="dxa" w:w="40"/>
                    <w:left w:type="dxa" w:w="80"/>
                    <w:bottom w:type="dxa" w:w="40"/>
                  </w:tcMar>
                  <w:vAlign w:val="center"/>
                </w:tcPr>
                <w:p>
                  <w:pPr>
                    <w:spacing w:after="0" w:before="0"/>
                    <w:jc w:val="right"/>
                  </w:pPr>
                  <w:r>
                    <w:rPr>
                      <w:rFonts w:ascii="Calibri" w:cs="Calibri" w:eastAsia="Calibri" w:hAnsi="Calibri"/>
                      <w:b/>
                      <w:bCs/>
                      <w:i w:val="false"/>
                      <w:iCs w:val="false"/>
                      <w:color w:val="0F62FE"/>
                      <w:sz w:val="18"/>
                      <w:szCs w:val="18"/>
                    </w:rPr>
                    <w:t xml:space="preserve">75%</w:t>
                  </w:r>
                </w:p>
              </w:tc>
            </w:tr>
            <w:tr>
              <w:tc>
                <w:tcPr>
                  <w:tcW w:type="dxa" w:w="2000"/>
                  <w:tcBorders>
                    <w:top w:val="none"/>
                    <w:left w:val="none"/>
                    <w:bottom w:val="none"/>
                    <w:right w:val="none"/>
                  </w:tcBorders>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12 — Target</w:t>
                  </w:r>
                </w:p>
              </w:tc>
              <w:tc>
                <w:tcPr>
                  <w:tcW w:type="dxa" w:w="3608"/>
                  <w:tcBorders>
                    <w:top w:val="none"/>
                    <w:left w:val="none"/>
                    <w:bottom w:val="none"/>
                    <w:right w:val="none"/>
                  </w:tcBorders>
                  <w:shd w:fill="001141"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792"/>
                  <w:tcBorders>
                    <w:top w:val="none"/>
                    <w:left w:val="none"/>
                    <w:bottom w:val="none"/>
                    <w:right w:val="none"/>
                  </w:tcBorders>
                  <w:shd w:fill="E0E0E0"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1560"/>
                  <w:tcBorders>
                    <w:top w:val="none"/>
                    <w:left w:val="none"/>
                    <w:bottom w:val="none"/>
                    <w:right w:val="none"/>
                  </w:tcBorders>
                  <w:tcMar>
                    <w:top w:type="dxa" w:w="40"/>
                    <w:left w:type="dxa" w:w="80"/>
                    <w:bottom w:type="dxa" w:w="40"/>
                  </w:tcMar>
                  <w:vAlign w:val="center"/>
                </w:tcPr>
                <w:p>
                  <w:pPr>
                    <w:spacing w:after="0" w:before="0"/>
                    <w:jc w:val="right"/>
                  </w:pPr>
                  <w:r>
                    <w:rPr>
                      <w:rFonts w:ascii="Calibri" w:cs="Calibri" w:eastAsia="Calibri" w:hAnsi="Calibri"/>
                      <w:b/>
                      <w:bCs/>
                      <w:i w:val="false"/>
                      <w:iCs w:val="false"/>
                      <w:color w:val="001141"/>
                      <w:sz w:val="18"/>
                      <w:szCs w:val="18"/>
                    </w:rPr>
                    <w:t xml:space="preserve">82%+</w:t>
                  </w:r>
                </w:p>
              </w:tc>
            </w:tr>
          </w:tbl>
          <w:p>
            <w:pPr>
              <w:spacing w:after="100" w:before="0"/>
            </w:pPr>
            <w:r>
              <w:rPr>
                <w:rFonts w:ascii="Calibri" w:cs="Calibri" w:eastAsia="Calibri" w:hAnsi="Calibri"/>
                <w:b w:val="false"/>
                <w:bCs w:val="false"/>
                <w:i w:val="false"/>
                <w:iCs w:val="false"/>
                <w:color w:val="161616"/>
                <w:sz w:val="21"/>
                <w:szCs w:val="21"/>
              </w:rPr>
              <w:t xml:space="preserve"/>
            </w:r>
          </w:p>
          <w:p>
            <w:pPr>
              <w:spacing w:after="60" w:before="80"/>
            </w:pPr>
            <w:r>
              <w:rPr>
                <w:rFonts w:ascii="Calibri" w:cs="Calibri" w:eastAsia="Calibri" w:hAnsi="Calibri"/>
                <w:b/>
                <w:bCs/>
                <w:i w:val="false"/>
                <w:iCs w:val="false"/>
                <w:color w:val="001141"/>
                <w:sz w:val="21"/>
                <w:szCs w:val="21"/>
              </w:rPr>
              <w:t xml:space="preserve">Quality Release Gates</w:t>
            </w:r>
          </w:p>
          <w:tbl>
            <w:tblPr>
              <w:tblW w:type="dxa" w:w="4493"/>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tcW w:type="dxa" w:w="1872"/>
                  <w:tcBorders>
                    <w:top w:val="single" w:color="0F62FE" w:sz="6"/>
                    <w:left w:val="single" w:color="E0E0E0" w:sz="2"/>
                    <w:bottom w:val="single" w:color="0F62FE" w:sz="3"/>
                    <w:right w:val="single" w:color="E0E0E0" w:sz="2"/>
                  </w:tcBorders>
                  <w:shd w:fill="D0E2FF" w:val="solid"/>
                  <w:tcMar>
                    <w:top w:type="dxa" w:w="40"/>
                    <w:left w:type="dxa" w:w="120"/>
                    <w:bottom w:type="dxa" w:w="40"/>
                    <w:right w:type="dxa" w:w="120"/>
                  </w:tcMar>
                </w:tcPr>
                <w:p>
                  <w:pPr>
                    <w:spacing w:after="60" w:before="60"/>
                  </w:pPr>
                  <w:r>
                    <w:rPr>
                      <w:rFonts w:ascii="Calibri" w:cs="Calibri" w:eastAsia="Calibri" w:hAnsi="Calibri"/>
                      <w:b/>
                      <w:bCs/>
                      <w:i w:val="false"/>
                      <w:iCs w:val="false"/>
                      <w:color w:val="001141"/>
                      <w:sz w:val="19"/>
                      <w:szCs w:val="19"/>
                    </w:rPr>
                    <w:t xml:space="preserve">Gate</w:t>
                  </w:r>
                </w:p>
              </w:tc>
              <w:tc>
                <w:tcPr>
                  <w:tcW w:type="dxa" w:w="1872"/>
                  <w:tcBorders>
                    <w:top w:val="single" w:color="0F62FE" w:sz="6"/>
                    <w:left w:val="single" w:color="E0E0E0" w:sz="2"/>
                    <w:bottom w:val="single" w:color="0F62FE" w:sz="3"/>
                    <w:right w:val="single" w:color="E0E0E0" w:sz="2"/>
                  </w:tcBorders>
                  <w:shd w:fill="D0E2FF" w:val="solid"/>
                  <w:tcMar>
                    <w:top w:type="dxa" w:w="40"/>
                    <w:left w:type="dxa" w:w="120"/>
                    <w:bottom w:type="dxa" w:w="40"/>
                    <w:right w:type="dxa" w:w="120"/>
                  </w:tcMar>
                </w:tcPr>
                <w:p>
                  <w:pPr>
                    <w:spacing w:after="60" w:before="60"/>
                  </w:pPr>
                  <w:r>
                    <w:rPr>
                      <w:rFonts w:ascii="Calibri" w:cs="Calibri" w:eastAsia="Calibri" w:hAnsi="Calibri"/>
                      <w:b/>
                      <w:bCs/>
                      <w:i w:val="false"/>
                      <w:iCs w:val="false"/>
                      <w:color w:val="001141"/>
                      <w:sz w:val="19"/>
                      <w:szCs w:val="19"/>
                    </w:rPr>
                    <w:t xml:space="preserve">Criteria</w:t>
                  </w:r>
                </w:p>
              </w:tc>
              <w:tc>
                <w:tcPr>
                  <w:tcW w:type="dxa" w:w="749"/>
                  <w:tcBorders>
                    <w:top w:val="single" w:color="0F62FE" w:sz="6"/>
                    <w:left w:val="single" w:color="E0E0E0" w:sz="2"/>
                    <w:bottom w:val="single" w:color="0F62FE" w:sz="3"/>
                    <w:right w:val="single" w:color="E0E0E0" w:sz="2"/>
                  </w:tcBorders>
                  <w:shd w:fill="D0E2FF" w:val="solid"/>
                  <w:tcMar>
                    <w:top w:type="dxa" w:w="40"/>
                    <w:left w:type="dxa" w:w="120"/>
                    <w:bottom w:type="dxa" w:w="40"/>
                    <w:right w:type="dxa" w:w="120"/>
                  </w:tcMar>
                </w:tcPr>
                <w:p>
                  <w:pPr>
                    <w:spacing w:after="60" w:before="60"/>
                  </w:pPr>
                  <w:r>
                    <w:rPr>
                      <w:rFonts w:ascii="Calibri" w:cs="Calibri" w:eastAsia="Calibri" w:hAnsi="Calibri"/>
                      <w:b/>
                      <w:bCs/>
                      <w:i w:val="false"/>
                      <w:iCs w:val="false"/>
                      <w:color w:val="001141"/>
                      <w:sz w:val="19"/>
                      <w:szCs w:val="19"/>
                    </w:rPr>
                    <w:t xml:space="preserve">Human Touch</w:t>
                  </w:r>
                </w:p>
              </w:tc>
            </w:tr>
            <w:tr>
              <w:tc>
                <w:tcPr>
                  <w:tcW w:type="dxa" w:w="1872"/>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Commit</w:t>
                  </w:r>
                </w:p>
              </w:tc>
              <w:tc>
                <w:tcPr>
                  <w:tcW w:type="dxa" w:w="1872"/>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AI review + coverage delta check</w:t>
                  </w:r>
                </w:p>
              </w:tc>
              <w:tc>
                <w:tcPr>
                  <w:tcW w:type="dxa" w:w="749"/>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98038"/>
                      <w:sz w:val="18"/>
                      <w:szCs w:val="18"/>
                    </w:rPr>
                    <w:t xml:space="preserve">None</w:t>
                  </w:r>
                </w:p>
              </w:tc>
            </w:tr>
            <w:tr>
              <w:tc>
                <w:tcPr>
                  <w:tcW w:type="dxa" w:w="1872"/>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Build</w:t>
                  </w:r>
                </w:p>
              </w:tc>
              <w:tc>
                <w:tcPr>
                  <w:tcW w:type="dxa" w:w="1872"/>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Unit test pass rate &gt;98%</w:t>
                  </w:r>
                </w:p>
              </w:tc>
              <w:tc>
                <w:tcPr>
                  <w:tcW w:type="dxa" w:w="749"/>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98038"/>
                      <w:sz w:val="18"/>
                      <w:szCs w:val="18"/>
                    </w:rPr>
                    <w:t xml:space="preserve">None</w:t>
                  </w:r>
                </w:p>
              </w:tc>
            </w:tr>
            <w:tr>
              <w:tc>
                <w:tcPr>
                  <w:tcW w:type="dxa" w:w="1872"/>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Staging</w:t>
                  </w:r>
                </w:p>
              </w:tc>
              <w:tc>
                <w:tcPr>
                  <w:tcW w:type="dxa" w:w="1872"/>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Integration + performance benchmarks</w:t>
                  </w:r>
                </w:p>
              </w:tc>
              <w:tc>
                <w:tcPr>
                  <w:tcW w:type="dxa" w:w="749"/>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98038"/>
                      <w:sz w:val="18"/>
                      <w:szCs w:val="18"/>
                    </w:rPr>
                    <w:t xml:space="preserve">None</w:t>
                  </w:r>
                </w:p>
              </w:tc>
            </w:tr>
            <w:tr>
              <w:tc>
                <w:tcPr>
                  <w:tcW w:type="dxa" w:w="1872"/>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Release</w:t>
                  </w:r>
                </w:p>
              </w:tc>
              <w:tc>
                <w:tcPr>
                  <w:tcW w:type="dxa" w:w="1872"/>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AI risk score + readiness signal</w:t>
                  </w:r>
                </w:p>
              </w:tc>
              <w:tc>
                <w:tcPr>
                  <w:tcW w:type="dxa" w:w="749"/>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Tier 1 only</w:t>
                  </w:r>
                </w:p>
              </w:tc>
            </w:tr>
          </w:tbl>
          <w:p/>
        </w:tc>
      </w:tr>
    </w:tbl>
    <w:p>
      <w:pPr>
        <w:spacing w:after="0" w:before="0"/>
      </w:pPr>
      <w:r>
        <w:br w:type="page"/>
      </w:r>
    </w:p>
    <w:p>
      <w:pPr>
        <w:pBdr>
          <w:top w:val="single" w:color="0F62FE" w:sz="12" w:space="6"/>
        </w:pBdr>
        <w:spacing w:after="20" w:before="240"/>
      </w:pPr>
    </w:p>
    <w:p>
      <w:pPr>
        <w:spacing w:after="20" w:before="20"/>
      </w:pPr>
      <w:r>
        <w:rPr>
          <w:rFonts w:ascii="Calibri" w:cs="Calibri" w:eastAsia="Calibri" w:hAnsi="Calibri"/>
          <w:b/>
          <w:bCs/>
          <w:i w:val="false"/>
          <w:iCs w:val="false"/>
          <w:color w:val="0F62FE"/>
          <w:sz w:val="16"/>
          <w:szCs w:val="16"/>
        </w:rPr>
        <w:t xml:space="preserve">5.0  </w:t>
      </w:r>
      <w:r>
        <w:rPr>
          <w:rFonts w:ascii="Calibri" w:cs="Calibri" w:eastAsia="Calibri" w:hAnsi="Calibri"/>
          <w:b/>
          <w:bCs/>
          <w:i w:val="false"/>
          <w:iCs w:val="false"/>
          <w:color w:val="001141"/>
          <w:sz w:val="26"/>
          <w:szCs w:val="26"/>
        </w:rPr>
        <w:t xml:space="preserve">AIOPS &amp; AGENTIC OPERATIONS</w:t>
      </w:r>
      <w:r>
        <w:rPr>
          <w:rFonts w:ascii="Calibri" w:cs="Calibri" w:eastAsia="Calibri" w:hAnsi="Calibri"/>
          <w:b w:val="false"/>
          <w:bCs w:val="false"/>
          <w:i/>
          <w:iCs/>
          <w:color w:val="8D8D8D"/>
          <w:sz w:val="19"/>
          <w:szCs w:val="19"/>
        </w:rPr>
        <w:t xml:space="preserve">   From reactive firefighting to self-healing intelligence</w:t>
      </w:r>
    </w:p>
    <w:p>
      <w:pPr>
        <w:spacing w:after="80" w:before="0"/>
      </w:pPr>
      <w:r>
        <w:rPr>
          <w:rFonts w:ascii="Calibri" w:cs="Calibri" w:eastAsia="Calibri" w:hAnsi="Calibri"/>
          <w:b w:val="false"/>
          <w:bCs w:val="false"/>
          <w:i w:val="false"/>
          <w:iCs w:val="false"/>
          <w:color w:val="161616"/>
          <w:sz w:val="21"/>
          <w:szCs w:val="21"/>
        </w:rPr>
        <w:t xml:space="preserve"/>
      </w:r>
    </w:p>
    <w:p>
      <w:pPr>
        <w:spacing w:after="40" w:before="80"/>
        <w:ind w:left="720" w:right="720"/>
        <w:jc w:val="center"/>
      </w:pPr>
      <w:r>
        <w:rPr>
          <w:rFonts w:ascii="Calibri" w:cs="Calibri" w:eastAsia="Calibri" w:hAnsi="Calibri"/>
          <w:b w:val="false"/>
          <w:bCs w:val="false"/>
          <w:i/>
          <w:iCs/>
          <w:color w:val="001141"/>
          <w:sz w:val="23"/>
          <w:szCs w:val="23"/>
        </w:rPr>
        <w:t xml:space="preserve">“A provider should never have to call a helpdesk because a claims system is slow. A member should never see an error because two systems failed to sync overnight. IBM’s AI operations model is designed so those moments simply stop happening.”</w:t>
      </w:r>
    </w:p>
    <w:p>
      <w:pPr>
        <w:spacing w:after="100" w:before="0"/>
        <w:jc w:val="center"/>
      </w:pPr>
      <w:r>
        <w:rPr>
          <w:rFonts w:ascii="Calibri" w:cs="Calibri" w:eastAsia="Calibri" w:hAnsi="Calibri"/>
          <w:b/>
          <w:bCs/>
          <w:i w:val="false"/>
          <w:iCs w:val="false"/>
          <w:color w:val="0F62FE"/>
          <w:sz w:val="18"/>
          <w:szCs w:val="18"/>
        </w:rPr>
        <w:t xml:space="preserve">— IBM AIOps — Zero-Touch Operations Framework</w:t>
      </w:r>
    </w:p>
    <w:p>
      <w:pPr>
        <w:pBdr>
          <w:bottom w:val="single" w:color="A6C8FF" w:sz="4" w:space="0"/>
        </w:pBdr>
        <w:spacing w:after="100" w:before="0"/>
        <w:ind w:left="2160" w:right="2160"/>
      </w:pPr>
    </w:p>
    <w:p>
      <w:pPr>
        <w:spacing w:after="60" w:before="0"/>
      </w:pPr>
      <w:r>
        <w:rPr>
          <w:rFonts w:ascii="Calibri" w:cs="Calibri" w:eastAsia="Calibri" w:hAnsi="Calibri"/>
          <w:b/>
          <w:bCs/>
          <w:i w:val="false"/>
          <w:iCs w:val="false"/>
          <w:color w:val="001141"/>
          <w:sz w:val="21"/>
          <w:szCs w:val="21"/>
        </w:rPr>
        <w:t xml:space="preserve">The Zero-Touch Operations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tblGrid>
      <w:tr>
        <w:tc>
          <w:tcPr>
            <w:tcW w:type="dxa" w:w="1872"/>
            <w:tcBorders>
              <w:top w:val="single" w:color="0F62FE" w:sz="12"/>
              <w:left w:val="single" w:color="E0E0E0" w:sz="2"/>
              <w:bottom w:val="single" w:color="E0E0E0" w:sz="2"/>
              <w:right w:val="single" w:color="E0E0E0" w:sz="2"/>
            </w:tcBorders>
            <w:shd w:fill="FFFFFF" w:val="solid"/>
            <w:tcMar>
              <w:top w:type="dxa" w:w="40"/>
              <w:left w:type="dxa" w:w="80"/>
              <w:bottom w:type="dxa" w:w="40"/>
              <w:right w:type="dxa" w:w="80"/>
            </w:tcMar>
          </w:tcPr>
          <w:p>
            <w:pPr>
              <w:spacing w:after="20" w:before="100"/>
              <w:jc w:val="center"/>
            </w:pPr>
            <w:r>
              <w:rPr>
                <w:rFonts w:ascii="Calibri" w:cs="Calibri" w:eastAsia="Calibri" w:hAnsi="Calibri"/>
                <w:b/>
                <w:bCs/>
                <w:i w:val="false"/>
                <w:iCs w:val="false"/>
                <w:color w:val="0F62FE"/>
                <w:sz w:val="15"/>
                <w:szCs w:val="15"/>
              </w:rPr>
              <w:t xml:space="preserve">STEP 1</w:t>
            </w:r>
          </w:p>
          <w:p>
            <w:pPr>
              <w:spacing w:after="40" w:before="0"/>
              <w:jc w:val="center"/>
            </w:pPr>
            <w:r>
              <w:rPr>
                <w:rFonts w:ascii="Calibri" w:cs="Calibri" w:eastAsia="Calibri" w:hAnsi="Calibri"/>
                <w:b/>
                <w:bCs/>
                <w:i w:val="false"/>
                <w:iCs w:val="false"/>
                <w:color w:val="001141"/>
                <w:sz w:val="19"/>
                <w:szCs w:val="19"/>
              </w:rPr>
              <w:t xml:space="preserve">Detect</w:t>
            </w:r>
          </w:p>
          <w:p>
            <w:pPr>
              <w:spacing w:after="20" w:before="0"/>
              <w:jc w:val="center"/>
            </w:pPr>
            <w:r>
              <w:rPr>
                <w:rFonts w:ascii="Calibri" w:cs="Calibri" w:eastAsia="Calibri" w:hAnsi="Calibri"/>
                <w:b w:val="false"/>
                <w:bCs w:val="false"/>
                <w:i w:val="false"/>
                <w:iCs w:val="false"/>
                <w:color w:val="525252"/>
                <w:sz w:val="17"/>
                <w:szCs w:val="17"/>
              </w:rPr>
              <w:t xml:space="preserve">Correlate signals</w:t>
            </w:r>
          </w:p>
          <w:p>
            <w:pPr>
              <w:spacing w:after="20" w:before="0"/>
              <w:jc w:val="center"/>
            </w:pPr>
            <w:r>
              <w:rPr>
                <w:rFonts w:ascii="Calibri" w:cs="Calibri" w:eastAsia="Calibri" w:hAnsi="Calibri"/>
                <w:b w:val="false"/>
                <w:bCs w:val="false"/>
                <w:i w:val="false"/>
                <w:iCs w:val="false"/>
                <w:color w:val="525252"/>
                <w:sz w:val="17"/>
                <w:szCs w:val="17"/>
              </w:rPr>
              <w:t xml:space="preserve">Anomaly detection</w:t>
            </w:r>
          </w:p>
          <w:p>
            <w:pPr>
              <w:spacing w:after="20" w:before="0"/>
              <w:jc w:val="center"/>
            </w:pPr>
            <w:r>
              <w:rPr>
                <w:rFonts w:ascii="Calibri" w:cs="Calibri" w:eastAsia="Calibri" w:hAnsi="Calibri"/>
                <w:b w:val="false"/>
                <w:bCs w:val="false"/>
                <w:i w:val="false"/>
                <w:iCs w:val="false"/>
                <w:color w:val="525252"/>
                <w:sz w:val="17"/>
                <w:szCs w:val="17"/>
              </w:rPr>
              <w:t xml:space="preserve">&gt;60% noise cut</w:t>
            </w:r>
          </w:p>
          <w:p>
            <w:pPr>
              <w:spacing w:after="80" w:before="0"/>
            </w:pPr>
            <w:r>
              <w:rPr>
                <w:rFonts w:ascii="Calibri" w:cs="Calibri" w:eastAsia="Calibri" w:hAnsi="Calibri"/>
                <w:b w:val="false"/>
                <w:bCs w:val="false"/>
                <w:i w:val="false"/>
                <w:iCs w:val="false"/>
                <w:color w:val="161616"/>
                <w:sz w:val="21"/>
                <w:szCs w:val="21"/>
              </w:rPr>
              <w:t xml:space="preserve"/>
            </w:r>
          </w:p>
        </w:tc>
        <w:tc>
          <w:tcPr>
            <w:tcW w:type="dxa" w:w="1872"/>
            <w:tcBorders>
              <w:top w:val="single" w:color="0072C3" w:sz="12"/>
              <w:left w:val="single" w:color="E0E0E0" w:sz="2"/>
              <w:bottom w:val="single" w:color="E0E0E0" w:sz="2"/>
              <w:right w:val="single" w:color="E0E0E0" w:sz="2"/>
            </w:tcBorders>
            <w:shd w:fill="FFFFFF" w:val="solid"/>
            <w:tcMar>
              <w:top w:type="dxa" w:w="40"/>
              <w:left w:type="dxa" w:w="80"/>
              <w:bottom w:type="dxa" w:w="40"/>
              <w:right w:type="dxa" w:w="80"/>
            </w:tcMar>
          </w:tcPr>
          <w:p>
            <w:pPr>
              <w:spacing w:after="20" w:before="100"/>
              <w:jc w:val="center"/>
            </w:pPr>
            <w:r>
              <w:rPr>
                <w:rFonts w:ascii="Calibri" w:cs="Calibri" w:eastAsia="Calibri" w:hAnsi="Calibri"/>
                <w:b/>
                <w:bCs/>
                <w:i w:val="false"/>
                <w:iCs w:val="false"/>
                <w:color w:val="0072C3"/>
                <w:sz w:val="15"/>
                <w:szCs w:val="15"/>
              </w:rPr>
              <w:t xml:space="preserve">STEP 2</w:t>
            </w:r>
          </w:p>
          <w:p>
            <w:pPr>
              <w:spacing w:after="40" w:before="0"/>
              <w:jc w:val="center"/>
            </w:pPr>
            <w:r>
              <w:rPr>
                <w:rFonts w:ascii="Calibri" w:cs="Calibri" w:eastAsia="Calibri" w:hAnsi="Calibri"/>
                <w:b/>
                <w:bCs/>
                <w:i w:val="false"/>
                <w:iCs w:val="false"/>
                <w:color w:val="001141"/>
                <w:sz w:val="19"/>
                <w:szCs w:val="19"/>
              </w:rPr>
              <w:t xml:space="preserve">Triage</w:t>
            </w:r>
          </w:p>
          <w:p>
            <w:pPr>
              <w:spacing w:after="20" w:before="0"/>
              <w:jc w:val="center"/>
            </w:pPr>
            <w:r>
              <w:rPr>
                <w:rFonts w:ascii="Calibri" w:cs="Calibri" w:eastAsia="Calibri" w:hAnsi="Calibri"/>
                <w:b w:val="false"/>
                <w:bCs w:val="false"/>
                <w:i w:val="false"/>
                <w:iCs w:val="false"/>
                <w:color w:val="525252"/>
                <w:sz w:val="17"/>
                <w:szCs w:val="17"/>
              </w:rPr>
              <w:t xml:space="preserve">AI routing</w:t>
            </w:r>
          </w:p>
          <w:p>
            <w:pPr>
              <w:spacing w:after="20" w:before="0"/>
              <w:jc w:val="center"/>
            </w:pPr>
            <w:r>
              <w:rPr>
                <w:rFonts w:ascii="Calibri" w:cs="Calibri" w:eastAsia="Calibri" w:hAnsi="Calibri"/>
                <w:b w:val="false"/>
                <w:bCs w:val="false"/>
                <w:i w:val="false"/>
                <w:iCs w:val="false"/>
                <w:color w:val="525252"/>
                <w:sz w:val="17"/>
                <w:szCs w:val="17"/>
              </w:rPr>
              <w:t xml:space="preserve">Impact scoring</w:t>
            </w:r>
          </w:p>
          <w:p>
            <w:pPr>
              <w:spacing w:after="20" w:before="0"/>
              <w:jc w:val="center"/>
            </w:pPr>
            <w:r>
              <w:rPr>
                <w:rFonts w:ascii="Calibri" w:cs="Calibri" w:eastAsia="Calibri" w:hAnsi="Calibri"/>
                <w:b w:val="false"/>
                <w:bCs w:val="false"/>
                <w:i w:val="false"/>
                <w:iCs w:val="false"/>
                <w:color w:val="525252"/>
                <w:sz w:val="17"/>
                <w:szCs w:val="17"/>
              </w:rPr>
              <w:t xml:space="preserve">Auto-prioritise</w:t>
            </w:r>
          </w:p>
          <w:p>
            <w:pPr>
              <w:spacing w:after="80" w:before="0"/>
            </w:pPr>
            <w:r>
              <w:rPr>
                <w:rFonts w:ascii="Calibri" w:cs="Calibri" w:eastAsia="Calibri" w:hAnsi="Calibri"/>
                <w:b w:val="false"/>
                <w:bCs w:val="false"/>
                <w:i w:val="false"/>
                <w:iCs w:val="false"/>
                <w:color w:val="161616"/>
                <w:sz w:val="21"/>
                <w:szCs w:val="21"/>
              </w:rPr>
              <w:t xml:space="preserve"/>
            </w:r>
          </w:p>
        </w:tc>
        <w:tc>
          <w:tcPr>
            <w:tcW w:type="dxa" w:w="1872"/>
            <w:tcBorders>
              <w:top w:val="single" w:color="0043CE" w:sz="12"/>
              <w:left w:val="single" w:color="E0E0E0" w:sz="2"/>
              <w:bottom w:val="single" w:color="E0E0E0" w:sz="2"/>
              <w:right w:val="single" w:color="E0E0E0" w:sz="2"/>
            </w:tcBorders>
            <w:shd w:fill="FFFFFF" w:val="solid"/>
            <w:tcMar>
              <w:top w:type="dxa" w:w="40"/>
              <w:left w:type="dxa" w:w="80"/>
              <w:bottom w:type="dxa" w:w="40"/>
              <w:right w:type="dxa" w:w="80"/>
            </w:tcMar>
          </w:tcPr>
          <w:p>
            <w:pPr>
              <w:spacing w:after="20" w:before="100"/>
              <w:jc w:val="center"/>
            </w:pPr>
            <w:r>
              <w:rPr>
                <w:rFonts w:ascii="Calibri" w:cs="Calibri" w:eastAsia="Calibri" w:hAnsi="Calibri"/>
                <w:b/>
                <w:bCs/>
                <w:i w:val="false"/>
                <w:iCs w:val="false"/>
                <w:color w:val="0043CE"/>
                <w:sz w:val="15"/>
                <w:szCs w:val="15"/>
              </w:rPr>
              <w:t xml:space="preserve">STEP 3</w:t>
            </w:r>
          </w:p>
          <w:p>
            <w:pPr>
              <w:spacing w:after="40" w:before="0"/>
              <w:jc w:val="center"/>
            </w:pPr>
            <w:r>
              <w:rPr>
                <w:rFonts w:ascii="Calibri" w:cs="Calibri" w:eastAsia="Calibri" w:hAnsi="Calibri"/>
                <w:b/>
                <w:bCs/>
                <w:i w:val="false"/>
                <w:iCs w:val="false"/>
                <w:color w:val="001141"/>
                <w:sz w:val="19"/>
                <w:szCs w:val="19"/>
              </w:rPr>
              <w:t xml:space="preserve">Diagnose</w:t>
            </w:r>
          </w:p>
          <w:p>
            <w:pPr>
              <w:spacing w:after="20" w:before="0"/>
              <w:jc w:val="center"/>
            </w:pPr>
            <w:r>
              <w:rPr>
                <w:rFonts w:ascii="Calibri" w:cs="Calibri" w:eastAsia="Calibri" w:hAnsi="Calibri"/>
                <w:b w:val="false"/>
                <w:bCs w:val="false"/>
                <w:i w:val="false"/>
                <w:iCs w:val="false"/>
                <w:color w:val="525252"/>
                <w:sz w:val="17"/>
                <w:szCs w:val="17"/>
              </w:rPr>
              <w:t xml:space="preserve">Root cause AI</w:t>
            </w:r>
          </w:p>
          <w:p>
            <w:pPr>
              <w:spacing w:after="20" w:before="0"/>
              <w:jc w:val="center"/>
            </w:pPr>
            <w:r>
              <w:rPr>
                <w:rFonts w:ascii="Calibri" w:cs="Calibri" w:eastAsia="Calibri" w:hAnsi="Calibri"/>
                <w:b w:val="false"/>
                <w:bCs w:val="false"/>
                <w:i w:val="false"/>
                <w:iCs w:val="false"/>
                <w:color w:val="525252"/>
                <w:sz w:val="17"/>
                <w:szCs w:val="17"/>
              </w:rPr>
              <w:t xml:space="preserve">Runbook guidance</w:t>
            </w:r>
          </w:p>
          <w:p>
            <w:pPr>
              <w:spacing w:after="20" w:before="0"/>
              <w:jc w:val="center"/>
            </w:pPr>
            <w:r>
              <w:rPr>
                <w:rFonts w:ascii="Calibri" w:cs="Calibri" w:eastAsia="Calibri" w:hAnsi="Calibri"/>
                <w:b w:val="false"/>
                <w:bCs w:val="false"/>
                <w:i w:val="false"/>
                <w:iCs w:val="false"/>
                <w:color w:val="525252"/>
                <w:sz w:val="17"/>
                <w:szCs w:val="17"/>
              </w:rPr>
              <w:t xml:space="preserve">Pattern matching</w:t>
            </w:r>
          </w:p>
          <w:p>
            <w:pPr>
              <w:spacing w:after="80" w:before="0"/>
            </w:pPr>
            <w:r>
              <w:rPr>
                <w:rFonts w:ascii="Calibri" w:cs="Calibri" w:eastAsia="Calibri" w:hAnsi="Calibri"/>
                <w:b w:val="false"/>
                <w:bCs w:val="false"/>
                <w:i w:val="false"/>
                <w:iCs w:val="false"/>
                <w:color w:val="161616"/>
                <w:sz w:val="21"/>
                <w:szCs w:val="21"/>
              </w:rPr>
              <w:t xml:space="preserve"/>
            </w:r>
          </w:p>
        </w:tc>
        <w:tc>
          <w:tcPr>
            <w:tcW w:type="dxa" w:w="1872"/>
            <w:tcBorders>
              <w:top w:val="single" w:color="007D79" w:sz="12"/>
              <w:left w:val="single" w:color="E0E0E0" w:sz="2"/>
              <w:bottom w:val="single" w:color="E0E0E0" w:sz="2"/>
              <w:right w:val="single" w:color="E0E0E0" w:sz="2"/>
            </w:tcBorders>
            <w:shd w:fill="FFFFFF" w:val="solid"/>
            <w:tcMar>
              <w:top w:type="dxa" w:w="40"/>
              <w:left w:type="dxa" w:w="80"/>
              <w:bottom w:type="dxa" w:w="40"/>
              <w:right w:type="dxa" w:w="80"/>
            </w:tcMar>
          </w:tcPr>
          <w:p>
            <w:pPr>
              <w:spacing w:after="20" w:before="100"/>
              <w:jc w:val="center"/>
            </w:pPr>
            <w:r>
              <w:rPr>
                <w:rFonts w:ascii="Calibri" w:cs="Calibri" w:eastAsia="Calibri" w:hAnsi="Calibri"/>
                <w:b/>
                <w:bCs/>
                <w:i w:val="false"/>
                <w:iCs w:val="false"/>
                <w:color w:val="007D79"/>
                <w:sz w:val="15"/>
                <w:szCs w:val="15"/>
              </w:rPr>
              <w:t xml:space="preserve">STEP 4</w:t>
            </w:r>
          </w:p>
          <w:p>
            <w:pPr>
              <w:spacing w:after="40" w:before="0"/>
              <w:jc w:val="center"/>
            </w:pPr>
            <w:r>
              <w:rPr>
                <w:rFonts w:ascii="Calibri" w:cs="Calibri" w:eastAsia="Calibri" w:hAnsi="Calibri"/>
                <w:b/>
                <w:bCs/>
                <w:i w:val="false"/>
                <w:iCs w:val="false"/>
                <w:color w:val="001141"/>
                <w:sz w:val="19"/>
                <w:szCs w:val="19"/>
              </w:rPr>
              <w:t xml:space="preserve">Resolve</w:t>
            </w:r>
          </w:p>
          <w:p>
            <w:pPr>
              <w:spacing w:after="20" w:before="0"/>
              <w:jc w:val="center"/>
            </w:pPr>
            <w:r>
              <w:rPr>
                <w:rFonts w:ascii="Calibri" w:cs="Calibri" w:eastAsia="Calibri" w:hAnsi="Calibri"/>
                <w:b w:val="false"/>
                <w:bCs w:val="false"/>
                <w:i w:val="false"/>
                <w:iCs w:val="false"/>
                <w:color w:val="525252"/>
                <w:sz w:val="17"/>
                <w:szCs w:val="17"/>
              </w:rPr>
              <w:t xml:space="preserve">Self-heal P3/P4</w:t>
            </w:r>
          </w:p>
          <w:p>
            <w:pPr>
              <w:spacing w:after="20" w:before="0"/>
              <w:jc w:val="center"/>
            </w:pPr>
            <w:r>
              <w:rPr>
                <w:rFonts w:ascii="Calibri" w:cs="Calibri" w:eastAsia="Calibri" w:hAnsi="Calibri"/>
                <w:b w:val="false"/>
                <w:bCs w:val="false"/>
                <w:i w:val="false"/>
                <w:iCs w:val="false"/>
                <w:color w:val="525252"/>
                <w:sz w:val="17"/>
                <w:szCs w:val="17"/>
              </w:rPr>
              <w:t xml:space="preserve">Auto-remediate</w:t>
            </w:r>
          </w:p>
          <w:p>
            <w:pPr>
              <w:spacing w:after="20" w:before="0"/>
              <w:jc w:val="center"/>
            </w:pPr>
            <w:r>
              <w:rPr>
                <w:rFonts w:ascii="Calibri" w:cs="Calibri" w:eastAsia="Calibri" w:hAnsi="Calibri"/>
                <w:b w:val="false"/>
                <w:bCs w:val="false"/>
                <w:i w:val="false"/>
                <w:iCs w:val="false"/>
                <w:color w:val="525252"/>
                <w:sz w:val="17"/>
                <w:szCs w:val="17"/>
              </w:rPr>
              <w:t xml:space="preserve">Zero-touch</w:t>
            </w:r>
          </w:p>
          <w:p>
            <w:pPr>
              <w:spacing w:after="80" w:before="0"/>
            </w:pPr>
            <w:r>
              <w:rPr>
                <w:rFonts w:ascii="Calibri" w:cs="Calibri" w:eastAsia="Calibri" w:hAnsi="Calibri"/>
                <w:b w:val="false"/>
                <w:bCs w:val="false"/>
                <w:i w:val="false"/>
                <w:iCs w:val="false"/>
                <w:color w:val="161616"/>
                <w:sz w:val="21"/>
                <w:szCs w:val="21"/>
              </w:rPr>
              <w:t xml:space="preserve"/>
            </w:r>
          </w:p>
        </w:tc>
        <w:tc>
          <w:tcPr>
            <w:tcW w:type="dxa" w:w="1872"/>
            <w:tcBorders>
              <w:top w:val="single" w:color="005D5D" w:sz="12"/>
              <w:left w:val="single" w:color="E0E0E0" w:sz="2"/>
              <w:bottom w:val="single" w:color="E0E0E0" w:sz="2"/>
              <w:right w:val="single" w:color="E0E0E0" w:sz="2"/>
            </w:tcBorders>
            <w:shd w:fill="FFFFFF" w:val="solid"/>
            <w:tcMar>
              <w:top w:type="dxa" w:w="40"/>
              <w:left w:type="dxa" w:w="80"/>
              <w:bottom w:type="dxa" w:w="40"/>
              <w:right w:type="dxa" w:w="80"/>
            </w:tcMar>
          </w:tcPr>
          <w:p>
            <w:pPr>
              <w:spacing w:after="20" w:before="100"/>
              <w:jc w:val="center"/>
            </w:pPr>
            <w:r>
              <w:rPr>
                <w:rFonts w:ascii="Calibri" w:cs="Calibri" w:eastAsia="Calibri" w:hAnsi="Calibri"/>
                <w:b/>
                <w:bCs/>
                <w:i w:val="false"/>
                <w:iCs w:val="false"/>
                <w:color w:val="005D5D"/>
                <w:sz w:val="15"/>
                <w:szCs w:val="15"/>
              </w:rPr>
              <w:t xml:space="preserve">STEP 5</w:t>
            </w:r>
          </w:p>
          <w:p>
            <w:pPr>
              <w:spacing w:after="40" w:before="0"/>
              <w:jc w:val="center"/>
            </w:pPr>
            <w:r>
              <w:rPr>
                <w:rFonts w:ascii="Calibri" w:cs="Calibri" w:eastAsia="Calibri" w:hAnsi="Calibri"/>
                <w:b/>
                <w:bCs/>
                <w:i w:val="false"/>
                <w:iCs w:val="false"/>
                <w:color w:val="001141"/>
                <w:sz w:val="19"/>
                <w:szCs w:val="19"/>
              </w:rPr>
              <w:t xml:space="preserve">Learn</w:t>
            </w:r>
          </w:p>
          <w:p>
            <w:pPr>
              <w:spacing w:after="20" w:before="0"/>
              <w:jc w:val="center"/>
            </w:pPr>
            <w:r>
              <w:rPr>
                <w:rFonts w:ascii="Calibri" w:cs="Calibri" w:eastAsia="Calibri" w:hAnsi="Calibri"/>
                <w:b w:val="false"/>
                <w:bCs w:val="false"/>
                <w:i w:val="false"/>
                <w:iCs w:val="false"/>
                <w:color w:val="525252"/>
                <w:sz w:val="17"/>
                <w:szCs w:val="17"/>
              </w:rPr>
              <w:t xml:space="preserve">Post-incident AI</w:t>
            </w:r>
          </w:p>
          <w:p>
            <w:pPr>
              <w:spacing w:after="20" w:before="0"/>
              <w:jc w:val="center"/>
            </w:pPr>
            <w:r>
              <w:rPr>
                <w:rFonts w:ascii="Calibri" w:cs="Calibri" w:eastAsia="Calibri" w:hAnsi="Calibri"/>
                <w:b w:val="false"/>
                <w:bCs w:val="false"/>
                <w:i w:val="false"/>
                <w:iCs w:val="false"/>
                <w:color w:val="525252"/>
                <w:sz w:val="17"/>
                <w:szCs w:val="17"/>
              </w:rPr>
              <w:t xml:space="preserve">Knowledge capture</w:t>
            </w:r>
          </w:p>
          <w:p>
            <w:pPr>
              <w:spacing w:after="20" w:before="0"/>
              <w:jc w:val="center"/>
            </w:pPr>
            <w:r>
              <w:rPr>
                <w:rFonts w:ascii="Calibri" w:cs="Calibri" w:eastAsia="Calibri" w:hAnsi="Calibri"/>
                <w:b w:val="false"/>
                <w:bCs w:val="false"/>
                <w:i w:val="false"/>
                <w:iCs w:val="false"/>
                <w:color w:val="525252"/>
                <w:sz w:val="17"/>
                <w:szCs w:val="17"/>
              </w:rPr>
              <w:t xml:space="preserve">Prevent recurrence</w:t>
            </w:r>
          </w:p>
          <w:p>
            <w:pPr>
              <w:spacing w:after="80" w:before="0"/>
            </w:pPr>
            <w:r>
              <w:rPr>
                <w:rFonts w:ascii="Calibri" w:cs="Calibri" w:eastAsia="Calibri" w:hAnsi="Calibri"/>
                <w:b w:val="false"/>
                <w:bCs w:val="false"/>
                <w:i w:val="false"/>
                <w:iCs w:val="false"/>
                <w:color w:val="161616"/>
                <w:sz w:val="21"/>
                <w:szCs w:val="21"/>
              </w:rPr>
              <w:t xml:space="preserve"/>
            </w:r>
          </w:p>
        </w:tc>
      </w:tr>
    </w:tbl>
    <w:p>
      <w:pPr>
        <w:spacing w:after="100" w:before="0"/>
      </w:pPr>
      <w:r>
        <w:rPr>
          <w:rFonts w:ascii="Calibri" w:cs="Calibri" w:eastAsia="Calibri" w:hAnsi="Calibri"/>
          <w:b w:val="false"/>
          <w:bCs w:val="false"/>
          <w:i w:val="false"/>
          <w:iCs w:val="false"/>
          <w:color w:val="161616"/>
          <w:sz w:val="21"/>
          <w:szCs w:val="21"/>
        </w:rPr>
        <w:t xml:space="preserve"/>
      </w:r>
    </w:p>
    <w:tbl>
      <w:tblPr>
        <w:tblW w:type="dxa" w:w="9360"/>
        <w:tblBorders>
          <w:top w:val="none"/>
          <w:left w:val="none"/>
          <w:bottom w:val="none"/>
          <w:right w:val="none"/>
          <w:insideH w:val="single" w:color="auto" w:sz="4"/>
          <w:insideV w:val="single" w:color="auto" w:sz="4"/>
        </w:tblBorders>
        <w:tblLayout w:type="fixed"/>
      </w:tblPr>
      <w:tblGrid>
        <w:gridCol w:w="100"/>
        <w:gridCol w:w="100"/>
        <w:gridCol w:w="100"/>
      </w:tblGrid>
      <w:tr>
        <w:tc>
          <w:tcPr>
            <w:tcW w:type="dxa" w:w="4493"/>
            <w:tcBorders>
              <w:top w:val="none"/>
              <w:left w:val="none"/>
              <w:bottom w:val="none"/>
              <w:right w:val="none"/>
            </w:tcBorders>
            <w:tcMar>
              <w:right w:type="dxa" w:w="160"/>
            </w:tcMar>
          </w:tcPr>
          <w:p>
            <w:pPr>
              <w:spacing w:after="60" w:before="0"/>
            </w:pPr>
            <w:r>
              <w:rPr>
                <w:rFonts w:ascii="Calibri" w:cs="Calibri" w:eastAsia="Calibri" w:hAnsi="Calibri"/>
                <w:b/>
                <w:bCs/>
                <w:i w:val="false"/>
                <w:iCs w:val="false"/>
                <w:color w:val="001141"/>
                <w:sz w:val="21"/>
                <w:szCs w:val="21"/>
              </w:rPr>
              <w:t xml:space="preserve">AI Agents &amp; Value</w:t>
            </w:r>
          </w:p>
          <w:tbl>
            <w:tblPr>
              <w:tblW w:type="dxa" w:w="4493"/>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tcW w:type="dxa" w:w="1872"/>
                  <w:tcBorders>
                    <w:top w:val="single" w:color="0F62FE" w:sz="6"/>
                    <w:left w:val="single" w:color="E0E0E0" w:sz="2"/>
                    <w:bottom w:val="single" w:color="0F62FE" w:sz="3"/>
                    <w:right w:val="single" w:color="E0E0E0" w:sz="2"/>
                  </w:tcBorders>
                  <w:shd w:fill="D0E2FF" w:val="solid"/>
                  <w:tcMar>
                    <w:top w:type="dxa" w:w="40"/>
                    <w:left w:type="dxa" w:w="120"/>
                    <w:bottom w:type="dxa" w:w="40"/>
                    <w:right w:type="dxa" w:w="120"/>
                  </w:tcMar>
                </w:tcPr>
                <w:p>
                  <w:pPr>
                    <w:spacing w:after="60" w:before="60"/>
                  </w:pPr>
                  <w:r>
                    <w:rPr>
                      <w:rFonts w:ascii="Calibri" w:cs="Calibri" w:eastAsia="Calibri" w:hAnsi="Calibri"/>
                      <w:b/>
                      <w:bCs/>
                      <w:i w:val="false"/>
                      <w:iCs w:val="false"/>
                      <w:color w:val="001141"/>
                      <w:sz w:val="19"/>
                      <w:szCs w:val="19"/>
                    </w:rPr>
                    <w:t xml:space="preserve">Agent</w:t>
                  </w:r>
                </w:p>
              </w:tc>
              <w:tc>
                <w:tcPr>
                  <w:tcW w:type="dxa" w:w="1685"/>
                  <w:tcBorders>
                    <w:top w:val="single" w:color="0F62FE" w:sz="6"/>
                    <w:left w:val="single" w:color="E0E0E0" w:sz="2"/>
                    <w:bottom w:val="single" w:color="0F62FE" w:sz="3"/>
                    <w:right w:val="single" w:color="E0E0E0" w:sz="2"/>
                  </w:tcBorders>
                  <w:shd w:fill="D0E2FF" w:val="solid"/>
                  <w:tcMar>
                    <w:top w:type="dxa" w:w="40"/>
                    <w:left w:type="dxa" w:w="120"/>
                    <w:bottom w:type="dxa" w:w="40"/>
                    <w:right w:type="dxa" w:w="120"/>
                  </w:tcMar>
                </w:tcPr>
                <w:p>
                  <w:pPr>
                    <w:spacing w:after="60" w:before="60"/>
                  </w:pPr>
                  <w:r>
                    <w:rPr>
                      <w:rFonts w:ascii="Calibri" w:cs="Calibri" w:eastAsia="Calibri" w:hAnsi="Calibri"/>
                      <w:b/>
                      <w:bCs/>
                      <w:i w:val="false"/>
                      <w:iCs w:val="false"/>
                      <w:color w:val="001141"/>
                      <w:sz w:val="19"/>
                      <w:szCs w:val="19"/>
                    </w:rPr>
                    <w:t xml:space="preserve">What It Does</w:t>
                  </w:r>
                </w:p>
              </w:tc>
              <w:tc>
                <w:tcPr>
                  <w:tcW w:type="dxa" w:w="936"/>
                  <w:tcBorders>
                    <w:top w:val="single" w:color="0F62FE" w:sz="6"/>
                    <w:left w:val="single" w:color="E0E0E0" w:sz="2"/>
                    <w:bottom w:val="single" w:color="0F62FE" w:sz="3"/>
                    <w:right w:val="single" w:color="E0E0E0" w:sz="2"/>
                  </w:tcBorders>
                  <w:shd w:fill="D0E2FF" w:val="solid"/>
                  <w:tcMar>
                    <w:top w:type="dxa" w:w="40"/>
                    <w:left w:type="dxa" w:w="120"/>
                    <w:bottom w:type="dxa" w:w="40"/>
                    <w:right w:type="dxa" w:w="120"/>
                  </w:tcMar>
                </w:tcPr>
                <w:p>
                  <w:pPr>
                    <w:spacing w:after="60" w:before="60"/>
                  </w:pPr>
                  <w:r>
                    <w:rPr>
                      <w:rFonts w:ascii="Calibri" w:cs="Calibri" w:eastAsia="Calibri" w:hAnsi="Calibri"/>
                      <w:b/>
                      <w:bCs/>
                      <w:i w:val="false"/>
                      <w:iCs w:val="false"/>
                      <w:color w:val="001141"/>
                      <w:sz w:val="19"/>
                      <w:szCs w:val="19"/>
                    </w:rPr>
                    <w:t xml:space="preserve">Value</w:t>
                  </w:r>
                </w:p>
              </w:tc>
            </w:tr>
            <w:tr>
              <w:tc>
                <w:tcPr>
                  <w:tcW w:type="dxa" w:w="1872"/>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Detection &amp; Correlation</w:t>
                  </w:r>
                </w:p>
              </w:tc>
              <w:tc>
                <w:tcPr>
                  <w:tcW w:type="dxa" w:w="1685"/>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Cuts alert noise &gt;60%</w:t>
                  </w:r>
                </w:p>
              </w:tc>
              <w:tc>
                <w:tcPr>
                  <w:tcW w:type="dxa" w:w="936"/>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8"/>
                      <w:szCs w:val="18"/>
                    </w:rPr>
                    <w:t xml:space="preserve">$2.5–3.5M</w:t>
                  </w:r>
                </w:p>
              </w:tc>
            </w:tr>
            <w:tr>
              <w:tc>
                <w:tcPr>
                  <w:tcW w:type="dxa" w:w="1872"/>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Triage AI</w:t>
                  </w:r>
                </w:p>
              </w:tc>
              <w:tc>
                <w:tcPr>
                  <w:tcW w:type="dxa" w:w="1685"/>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Routes issues instantly</w:t>
                  </w:r>
                </w:p>
              </w:tc>
              <w:tc>
                <w:tcPr>
                  <w:tcW w:type="dxa" w:w="936"/>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8"/>
                      <w:szCs w:val="18"/>
                    </w:rPr>
                    <w:t xml:space="preserve">$1.3–1.5M</w:t>
                  </w:r>
                </w:p>
              </w:tc>
            </w:tr>
            <w:tr>
              <w:tc>
                <w:tcPr>
                  <w:tcW w:type="dxa" w:w="1872"/>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Root Cause Agent</w:t>
                  </w:r>
                </w:p>
              </w:tc>
              <w:tc>
                <w:tcPr>
                  <w:tcW w:type="dxa" w:w="1685"/>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Diagnoses in seconds</w:t>
                  </w:r>
                </w:p>
              </w:tc>
              <w:tc>
                <w:tcPr>
                  <w:tcW w:type="dxa" w:w="936"/>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8"/>
                      <w:szCs w:val="18"/>
                    </w:rPr>
                    <w:t xml:space="preserve">$2.0–3.0M</w:t>
                  </w:r>
                </w:p>
              </w:tc>
            </w:tr>
            <w:tr>
              <w:tc>
                <w:tcPr>
                  <w:tcW w:type="dxa" w:w="1872"/>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Auto-Remediation</w:t>
                  </w:r>
                </w:p>
              </w:tc>
              <w:tc>
                <w:tcPr>
                  <w:tcW w:type="dxa" w:w="1685"/>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Resolves P3/P4 without human touch</w:t>
                  </w:r>
                </w:p>
              </w:tc>
              <w:tc>
                <w:tcPr>
                  <w:tcW w:type="dxa" w:w="936"/>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8"/>
                      <w:szCs w:val="18"/>
                    </w:rPr>
                    <w:t xml:space="preserve">$1.5–2.0M</w:t>
                  </w:r>
                </w:p>
              </w:tc>
            </w:tr>
            <w:tr>
              <w:tc>
                <w:tcPr>
                  <w:tcW w:type="dxa" w:w="1872"/>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Knowledge Agent</w:t>
                  </w:r>
                </w:p>
              </w:tc>
              <w:tc>
                <w:tcPr>
                  <w:tcW w:type="dxa" w:w="1685"/>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Learns from every incident</w:t>
                  </w:r>
                </w:p>
              </w:tc>
              <w:tc>
                <w:tcPr>
                  <w:tcW w:type="dxa" w:w="936"/>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8"/>
                      <w:szCs w:val="18"/>
                    </w:rPr>
                    <w:t xml:space="preserve">$1.0–1.3M</w:t>
                  </w:r>
                </w:p>
              </w:tc>
            </w:tr>
            <w:tr>
              <w:tc>
                <w:tcPr>
                  <w:tcW w:type="dxa" w:w="1872"/>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Deployment AI</w:t>
                  </w:r>
                </w:p>
              </w:tc>
              <w:tc>
                <w:tcPr>
                  <w:tcW w:type="dxa" w:w="1685"/>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Risk-scores every release</w:t>
                  </w:r>
                </w:p>
              </w:tc>
              <w:tc>
                <w:tcPr>
                  <w:tcW w:type="dxa" w:w="936"/>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8"/>
                      <w:szCs w:val="18"/>
                    </w:rPr>
                    <w:t xml:space="preserve">$0.8–1.2M</w:t>
                  </w:r>
                </w:p>
              </w:tc>
            </w:tr>
          </w:tbl>
          <w:p/>
        </w:tc>
        <w:tc>
          <w:tcPr>
            <w:tcW w:type="dxa" w:w="374"/>
            <w:tcBorders>
              <w:top w:val="none"/>
              <w:left w:val="none"/>
              <w:bottom w:val="none"/>
              <w:right w:val="none"/>
            </w:tcBorders>
          </w:tcPr>
          <w:p>
            <w:pPr>
              <w:spacing w:after="0" w:before="0"/>
            </w:pPr>
            <w:r>
              <w:rPr>
                <w:rFonts w:ascii="Calibri" w:cs="Calibri" w:eastAsia="Calibri" w:hAnsi="Calibri"/>
                <w:b w:val="false"/>
                <w:bCs w:val="false"/>
                <w:i w:val="false"/>
                <w:iCs w:val="false"/>
                <w:color w:val="161616"/>
                <w:sz w:val="21"/>
                <w:szCs w:val="21"/>
              </w:rPr>
              <w:t xml:space="preserve"/>
            </w:r>
          </w:p>
        </w:tc>
        <w:tc>
          <w:tcPr>
            <w:tcW w:type="dxa" w:w="4493"/>
            <w:tcBorders>
              <w:top w:val="none"/>
              <w:left w:val="none"/>
              <w:bottom w:val="none"/>
              <w:right w:val="none"/>
            </w:tcBorders>
            <w:tcMar>
              <w:left w:type="dxa" w:w="160"/>
            </w:tcMar>
          </w:tcPr>
          <w:p>
            <w:pPr>
              <w:spacing w:after="60" w:before="0"/>
            </w:pPr>
            <w:r>
              <w:rPr>
                <w:rFonts w:ascii="Calibri" w:cs="Calibri" w:eastAsia="Calibri" w:hAnsi="Calibri"/>
                <w:b/>
                <w:bCs/>
                <w:i w:val="false"/>
                <w:iCs w:val="false"/>
                <w:color w:val="001141"/>
                <w:sz w:val="21"/>
                <w:szCs w:val="21"/>
              </w:rPr>
              <w:t xml:space="preserve">Before vs. After — Key Metrics</w:t>
            </w:r>
          </w:p>
          <w:tbl>
            <w:tblPr>
              <w:tblW w:type="dxa" w:w="4493"/>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tcW w:type="dxa" w:w="2059"/>
                  <w:tcBorders>
                    <w:top w:val="single" w:color="0F62FE" w:sz="6"/>
                    <w:left w:val="single" w:color="E0E0E0" w:sz="2"/>
                    <w:bottom w:val="single" w:color="0F62FE" w:sz="3"/>
                    <w:right w:val="single" w:color="E0E0E0" w:sz="2"/>
                  </w:tcBorders>
                  <w:shd w:fill="D0E2FF" w:val="solid"/>
                  <w:tcMar>
                    <w:top w:type="dxa" w:w="40"/>
                    <w:left w:type="dxa" w:w="120"/>
                    <w:bottom w:type="dxa" w:w="40"/>
                    <w:right w:type="dxa" w:w="120"/>
                  </w:tcMar>
                </w:tcPr>
                <w:p>
                  <w:pPr>
                    <w:spacing w:after="60" w:before="60"/>
                  </w:pPr>
                  <w:r>
                    <w:rPr>
                      <w:rFonts w:ascii="Calibri" w:cs="Calibri" w:eastAsia="Calibri" w:hAnsi="Calibri"/>
                      <w:b/>
                      <w:bCs/>
                      <w:i w:val="false"/>
                      <w:iCs w:val="false"/>
                      <w:color w:val="001141"/>
                      <w:sz w:val="19"/>
                      <w:szCs w:val="19"/>
                    </w:rPr>
                    <w:t xml:space="preserve">Metric</w:t>
                  </w:r>
                </w:p>
              </w:tc>
              <w:tc>
                <w:tcPr>
                  <w:tcW w:type="dxa" w:w="1123"/>
                  <w:tcBorders>
                    <w:top w:val="single" w:color="0F62FE" w:sz="6"/>
                    <w:left w:val="single" w:color="E0E0E0" w:sz="2"/>
                    <w:bottom w:val="single" w:color="0F62FE" w:sz="3"/>
                    <w:right w:val="single" w:color="E0E0E0" w:sz="2"/>
                  </w:tcBorders>
                  <w:shd w:fill="D0E2FF" w:val="solid"/>
                  <w:tcMar>
                    <w:top w:type="dxa" w:w="40"/>
                    <w:left w:type="dxa" w:w="120"/>
                    <w:bottom w:type="dxa" w:w="40"/>
                    <w:right w:type="dxa" w:w="120"/>
                  </w:tcMar>
                </w:tcPr>
                <w:p>
                  <w:pPr>
                    <w:spacing w:after="60" w:before="60"/>
                  </w:pPr>
                  <w:r>
                    <w:rPr>
                      <w:rFonts w:ascii="Calibri" w:cs="Calibri" w:eastAsia="Calibri" w:hAnsi="Calibri"/>
                      <w:b/>
                      <w:bCs/>
                      <w:i w:val="false"/>
                      <w:iCs w:val="false"/>
                      <w:color w:val="001141"/>
                      <w:sz w:val="19"/>
                      <w:szCs w:val="19"/>
                    </w:rPr>
                    <w:t xml:space="preserve">Today</w:t>
                  </w:r>
                </w:p>
              </w:tc>
              <w:tc>
                <w:tcPr>
                  <w:tcW w:type="dxa" w:w="1310"/>
                  <w:tcBorders>
                    <w:top w:val="single" w:color="0F62FE" w:sz="6"/>
                    <w:left w:val="single" w:color="E0E0E0" w:sz="2"/>
                    <w:bottom w:val="single" w:color="0F62FE" w:sz="3"/>
                    <w:right w:val="single" w:color="E0E0E0" w:sz="2"/>
                  </w:tcBorders>
                  <w:shd w:fill="D0E2FF" w:val="solid"/>
                  <w:tcMar>
                    <w:top w:type="dxa" w:w="40"/>
                    <w:left w:type="dxa" w:w="120"/>
                    <w:bottom w:type="dxa" w:w="40"/>
                    <w:right w:type="dxa" w:w="120"/>
                  </w:tcMar>
                </w:tcPr>
                <w:p>
                  <w:pPr>
                    <w:spacing w:after="60" w:before="60"/>
                  </w:pPr>
                  <w:r>
                    <w:rPr>
                      <w:rFonts w:ascii="Calibri" w:cs="Calibri" w:eastAsia="Calibri" w:hAnsi="Calibri"/>
                      <w:b/>
                      <w:bCs/>
                      <w:i w:val="false"/>
                      <w:iCs w:val="false"/>
                      <w:color w:val="001141"/>
                      <w:sz w:val="19"/>
                      <w:szCs w:val="19"/>
                    </w:rPr>
                    <w:t xml:space="preserve">With IBM AIOps</w:t>
                  </w:r>
                </w:p>
              </w:tc>
            </w:tr>
            <w:tr>
              <w:tc>
                <w:tcPr>
                  <w:tcW w:type="dxa" w:w="2059"/>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Mean Time to Resolve</w:t>
                  </w:r>
                </w:p>
              </w:tc>
              <w:tc>
                <w:tcPr>
                  <w:tcW w:type="dxa" w:w="1123"/>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9"/>
                      <w:szCs w:val="19"/>
                    </w:rPr>
                    <w:t xml:space="preserve">&gt;4 hours</w:t>
                  </w:r>
                </w:p>
              </w:tc>
              <w:tc>
                <w:tcPr>
                  <w:tcW w:type="dxa" w:w="1310"/>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&lt;1.8 hours</w:t>
                  </w:r>
                </w:p>
              </w:tc>
            </w:tr>
            <w:tr>
              <w:tc>
                <w:tcPr>
                  <w:tcW w:type="dxa" w:w="2059"/>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P3/P4 Auto-Resolution</w:t>
                  </w:r>
                </w:p>
              </w:tc>
              <w:tc>
                <w:tcPr>
                  <w:tcW w:type="dxa" w:w="1123"/>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9"/>
                      <w:szCs w:val="19"/>
                    </w:rPr>
                    <w:t xml:space="preserve">&lt;10%</w:t>
                  </w:r>
                </w:p>
              </w:tc>
              <w:tc>
                <w:tcPr>
                  <w:tcW w:type="dxa" w:w="1310"/>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&gt;74%</w:t>
                  </w:r>
                </w:p>
              </w:tc>
            </w:tr>
            <w:tr>
              <w:tc>
                <w:tcPr>
                  <w:tcW w:type="dxa" w:w="2059"/>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Alert Noise</w:t>
                  </w:r>
                </w:p>
              </w:tc>
              <w:tc>
                <w:tcPr>
                  <w:tcW w:type="dxa" w:w="1123"/>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9"/>
                      <w:szCs w:val="19"/>
                    </w:rPr>
                    <w:t xml:space="preserve">Unfiltered</w:t>
                  </w:r>
                </w:p>
              </w:tc>
              <w:tc>
                <w:tcPr>
                  <w:tcW w:type="dxa" w:w="1310"/>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&gt;60% cut</w:t>
                  </w:r>
                </w:p>
              </w:tc>
            </w:tr>
            <w:tr>
              <w:tc>
                <w:tcPr>
                  <w:tcW w:type="dxa" w:w="2059"/>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System Availability</w:t>
                  </w:r>
                </w:p>
              </w:tc>
              <w:tc>
                <w:tcPr>
                  <w:tcW w:type="dxa" w:w="1123"/>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9"/>
                      <w:szCs w:val="19"/>
                    </w:rPr>
                    <w:t xml:space="preserve">~99.7%</w:t>
                  </w:r>
                </w:p>
              </w:tc>
              <w:tc>
                <w:tcPr>
                  <w:tcW w:type="dxa" w:w="1310"/>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99.9%+</w:t>
                  </w:r>
                </w:p>
              </w:tc>
            </w:tr>
            <w:tr>
              <w:tc>
                <w:tcPr>
                  <w:tcW w:type="dxa" w:w="2059"/>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Recurring Incidents</w:t>
                  </w:r>
                </w:p>
              </w:tc>
              <w:tc>
                <w:tcPr>
                  <w:tcW w:type="dxa" w:w="1123"/>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9"/>
                      <w:szCs w:val="19"/>
                    </w:rPr>
                    <w:t xml:space="preserve">Unmanaged</w:t>
                  </w:r>
                </w:p>
              </w:tc>
              <w:tc>
                <w:tcPr>
                  <w:tcW w:type="dxa" w:w="1310"/>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−50% demand</w:t>
                  </w:r>
                </w:p>
              </w:tc>
            </w:tr>
          </w:tbl>
          <w:p>
            <w:pPr>
              <w:spacing w:after="80" w:before="0"/>
            </w:pPr>
            <w:r>
              <w:rPr>
                <w:rFonts w:ascii="Calibri" w:cs="Calibri" w:eastAsia="Calibri" w:hAnsi="Calibri"/>
                <w:b w:val="false"/>
                <w:bCs w:val="false"/>
                <w:i w:val="false"/>
                <w:iCs w:val="false"/>
                <w:color w:val="161616"/>
                <w:sz w:val="21"/>
                <w:szCs w:val="21"/>
              </w:rPr>
              <w:t xml:space="preserve"/>
            </w:r>
          </w:p>
          <w:p>
            <w:pPr>
              <w:shd w:fill="EBF2FF" w:val="solid"/>
              <w:spacing w:after="100" w:before="100"/>
              <w:ind w:left="200" w:right="200"/>
            </w:pPr>
            <w:r>
              <w:rPr>
                <w:rFonts w:ascii="Calibri" w:cs="Calibri" w:eastAsia="Calibri" w:hAnsi="Calibri"/>
                <w:b/>
                <w:bCs/>
                <w:i w:val="false"/>
                <w:iCs w:val="false"/>
                <w:color w:val="001141"/>
                <w:sz w:val="19"/>
                <w:szCs w:val="19"/>
              </w:rPr>
              <w:t xml:space="preserve">Target: most P3/P4 incidents are resolved before a human is notified. That is zero-touch operations.</w:t>
            </w:r>
          </w:p>
        </w:tc>
      </w:tr>
    </w:tbl>
    <w:p>
      <w:pPr>
        <w:spacing w:after="0" w:before="0"/>
      </w:pPr>
      <w:r>
        <w:br w:type="page"/>
      </w:r>
    </w:p>
    <w:p>
      <w:pPr>
        <w:pBdr>
          <w:top w:val="single" w:color="0F62FE" w:sz="12" w:space="6"/>
        </w:pBdr>
        <w:spacing w:after="20" w:before="240"/>
      </w:pPr>
    </w:p>
    <w:p>
      <w:pPr>
        <w:spacing w:after="20" w:before="20"/>
      </w:pPr>
      <w:r>
        <w:rPr>
          <w:rFonts w:ascii="Calibri" w:cs="Calibri" w:eastAsia="Calibri" w:hAnsi="Calibri"/>
          <w:b/>
          <w:bCs/>
          <w:i w:val="false"/>
          <w:iCs w:val="false"/>
          <w:color w:val="0F62FE"/>
          <w:sz w:val="16"/>
          <w:szCs w:val="16"/>
        </w:rPr>
        <w:t xml:space="preserve">6.0  </w:t>
      </w:r>
      <w:r>
        <w:rPr>
          <w:rFonts w:ascii="Calibri" w:cs="Calibri" w:eastAsia="Calibri" w:hAnsi="Calibri"/>
          <w:b/>
          <w:bCs/>
          <w:i w:val="false"/>
          <w:iCs w:val="false"/>
          <w:color w:val="001141"/>
          <w:sz w:val="26"/>
          <w:szCs w:val="26"/>
        </w:rPr>
        <w:t xml:space="preserve">BUSINESS OUTCOMES &amp; VALUE REALIZATION</w:t>
      </w:r>
      <w:r>
        <w:rPr>
          <w:rFonts w:ascii="Calibri" w:cs="Calibri" w:eastAsia="Calibri" w:hAnsi="Calibri"/>
          <w:b w:val="false"/>
          <w:bCs w:val="false"/>
          <w:i/>
          <w:iCs/>
          <w:color w:val="8D8D8D"/>
          <w:sz w:val="19"/>
          <w:szCs w:val="19"/>
        </w:rPr>
        <w:t xml:space="preserve">   Every initiative connects to a measurable result</w:t>
      </w:r>
    </w:p>
    <w:p>
      <w:pPr>
        <w:spacing w:after="80" w:before="0"/>
      </w:pPr>
      <w:r>
        <w:rPr>
          <w:rFonts w:ascii="Calibri" w:cs="Calibri" w:eastAsia="Calibri" w:hAnsi="Calibri"/>
          <w:b w:val="false"/>
          <w:bCs w:val="false"/>
          <w:i w:val="false"/>
          <w:iCs w:val="false"/>
          <w:color w:val="161616"/>
          <w:sz w:val="21"/>
          <w:szCs w:val="21"/>
        </w:rPr>
        <w:t xml:space="preserve"/>
      </w:r>
    </w:p>
    <w:p>
      <w:pPr>
        <w:spacing w:after="40" w:before="80"/>
        <w:ind w:left="720" w:right="720"/>
        <w:jc w:val="center"/>
      </w:pPr>
      <w:r>
        <w:rPr>
          <w:rFonts w:ascii="Calibri" w:cs="Calibri" w:eastAsia="Calibri" w:hAnsi="Calibri"/>
          <w:b w:val="false"/>
          <w:bCs w:val="false"/>
          <w:i/>
          <w:iCs/>
          <w:color w:val="001141"/>
          <w:sz w:val="23"/>
          <w:szCs w:val="23"/>
        </w:rPr>
        <w:t xml:space="preserve">“A payer that processes a claim faster spends less on administration and earns more member trust. A payer whose systems self-heal spends less on incidents and more on care. IBM is building the infrastructure of that future for Horizon.”</w:t>
      </w:r>
    </w:p>
    <w:p>
      <w:pPr>
        <w:spacing w:after="100" w:before="0"/>
        <w:jc w:val="center"/>
      </w:pPr>
      <w:r>
        <w:rPr>
          <w:rFonts w:ascii="Calibri" w:cs="Calibri" w:eastAsia="Calibri" w:hAnsi="Calibri"/>
          <w:b/>
          <w:bCs/>
          <w:i w:val="false"/>
          <w:iCs w:val="false"/>
          <w:color w:val="0F62FE"/>
          <w:sz w:val="18"/>
          <w:szCs w:val="18"/>
        </w:rPr>
        <w:t xml:space="preserve">— IBM Outcome Governance Framework</w:t>
      </w:r>
    </w:p>
    <w:p>
      <w:pPr>
        <w:pBdr>
          <w:bottom w:val="single" w:color="A6C8FF" w:sz="4" w:space="0"/>
        </w:pBdr>
        <w:spacing w:after="100" w:before="0"/>
        <w:ind w:left="2160" w:right="2160"/>
      </w:pPr>
    </w:p>
    <w:tbl>
      <w:tblPr>
        <w:tblW w:type="dxa" w:w="9360"/>
        <w:tblBorders>
          <w:top w:val="none"/>
          <w:left w:val="none"/>
          <w:bottom w:val="none"/>
          <w:right w:val="none"/>
          <w:insideH w:val="single" w:color="auto" w:sz="4"/>
          <w:insideV w:val="single" w:color="auto" w:sz="4"/>
        </w:tblBorders>
        <w:tblLayout w:type="fixed"/>
      </w:tblPr>
      <w:tblGrid>
        <w:gridCol w:w="100"/>
        <w:gridCol w:w="100"/>
        <w:gridCol w:w="100"/>
      </w:tblGrid>
      <w:tr>
        <w:tc>
          <w:tcPr>
            <w:tcW w:type="dxa" w:w="4493"/>
            <w:tcBorders>
              <w:top w:val="none"/>
              <w:left w:val="none"/>
              <w:bottom w:val="none"/>
              <w:right w:val="none"/>
            </w:tcBorders>
            <w:tcMar>
              <w:right w:type="dxa" w:w="160"/>
            </w:tcMar>
          </w:tcPr>
          <w:p>
            <w:pPr>
              <w:spacing w:after="60" w:before="0"/>
            </w:pPr>
            <w:r>
              <w:rPr>
                <w:rFonts w:ascii="Calibri" w:cs="Calibri" w:eastAsia="Calibri" w:hAnsi="Calibri"/>
                <w:b/>
                <w:bCs/>
                <w:i w:val="false"/>
                <w:iCs w:val="false"/>
                <w:color w:val="001141"/>
                <w:sz w:val="21"/>
                <w:szCs w:val="21"/>
              </w:rPr>
              <w:t xml:space="preserve">Business Domain Outcomes</w:t>
            </w:r>
          </w:p>
          <w:tbl>
            <w:tblPr>
              <w:tblW w:type="dxa" w:w="4493"/>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tcW w:type="dxa" w:w="1685"/>
                  <w:tcBorders>
                    <w:top w:val="single" w:color="0F62FE" w:sz="6"/>
                    <w:left w:val="single" w:color="E0E0E0" w:sz="2"/>
                    <w:bottom w:val="single" w:color="0F62FE" w:sz="3"/>
                    <w:right w:val="single" w:color="E0E0E0" w:sz="2"/>
                  </w:tcBorders>
                  <w:shd w:fill="D0E2FF" w:val="solid"/>
                  <w:tcMar>
                    <w:top w:type="dxa" w:w="40"/>
                    <w:left w:type="dxa" w:w="120"/>
                    <w:bottom w:type="dxa" w:w="40"/>
                    <w:right w:type="dxa" w:w="120"/>
                  </w:tcMar>
                </w:tcPr>
                <w:p>
                  <w:pPr>
                    <w:spacing w:after="60" w:before="60"/>
                  </w:pPr>
                  <w:r>
                    <w:rPr>
                      <w:rFonts w:ascii="Calibri" w:cs="Calibri" w:eastAsia="Calibri" w:hAnsi="Calibri"/>
                      <w:b/>
                      <w:bCs/>
                      <w:i w:val="false"/>
                      <w:iCs w:val="false"/>
                      <w:color w:val="001141"/>
                      <w:sz w:val="19"/>
                      <w:szCs w:val="19"/>
                    </w:rPr>
                    <w:t xml:space="preserve">Domain</w:t>
                  </w:r>
                </w:p>
              </w:tc>
              <w:tc>
                <w:tcPr>
                  <w:tcW w:type="dxa" w:w="1685"/>
                  <w:tcBorders>
                    <w:top w:val="single" w:color="0F62FE" w:sz="6"/>
                    <w:left w:val="single" w:color="E0E0E0" w:sz="2"/>
                    <w:bottom w:val="single" w:color="0F62FE" w:sz="3"/>
                    <w:right w:val="single" w:color="E0E0E0" w:sz="2"/>
                  </w:tcBorders>
                  <w:shd w:fill="D0E2FF" w:val="solid"/>
                  <w:tcMar>
                    <w:top w:type="dxa" w:w="40"/>
                    <w:left w:type="dxa" w:w="120"/>
                    <w:bottom w:type="dxa" w:w="40"/>
                    <w:right w:type="dxa" w:w="120"/>
                  </w:tcMar>
                </w:tcPr>
                <w:p>
                  <w:pPr>
                    <w:spacing w:after="60" w:before="60"/>
                  </w:pPr>
                  <w:r>
                    <w:rPr>
                      <w:rFonts w:ascii="Calibri" w:cs="Calibri" w:eastAsia="Calibri" w:hAnsi="Calibri"/>
                      <w:b/>
                      <w:bCs/>
                      <w:i w:val="false"/>
                      <w:iCs w:val="false"/>
                      <w:color w:val="001141"/>
                      <w:sz w:val="19"/>
                      <w:szCs w:val="19"/>
                    </w:rPr>
                    <w:t xml:space="preserve">Business KPI</w:t>
                  </w:r>
                </w:p>
              </w:tc>
              <w:tc>
                <w:tcPr>
                  <w:tcW w:type="dxa" w:w="1123"/>
                  <w:tcBorders>
                    <w:top w:val="single" w:color="0F62FE" w:sz="6"/>
                    <w:left w:val="single" w:color="E0E0E0" w:sz="2"/>
                    <w:bottom w:val="single" w:color="0F62FE" w:sz="3"/>
                    <w:right w:val="single" w:color="E0E0E0" w:sz="2"/>
                  </w:tcBorders>
                  <w:shd w:fill="D0E2FF" w:val="solid"/>
                  <w:tcMar>
                    <w:top w:type="dxa" w:w="40"/>
                    <w:left w:type="dxa" w:w="120"/>
                    <w:bottom w:type="dxa" w:w="40"/>
                    <w:right w:type="dxa" w:w="120"/>
                  </w:tcMar>
                </w:tcPr>
                <w:p>
                  <w:pPr>
                    <w:spacing w:after="60" w:before="60"/>
                  </w:pPr>
                  <w:r>
                    <w:rPr>
                      <w:rFonts w:ascii="Calibri" w:cs="Calibri" w:eastAsia="Calibri" w:hAnsi="Calibri"/>
                      <w:b/>
                      <w:bCs/>
                      <w:i w:val="false"/>
                      <w:iCs w:val="false"/>
                      <w:color w:val="001141"/>
                      <w:sz w:val="19"/>
                      <w:szCs w:val="19"/>
                    </w:rPr>
                    <w:t xml:space="preserve">Target</w:t>
                  </w:r>
                </w:p>
              </w:tc>
            </w:tr>
            <w:tr>
              <w:tc>
                <w:tcPr>
                  <w:tcW w:type="dxa" w:w="1685"/>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Claims</w:t>
                  </w:r>
                </w:p>
              </w:tc>
              <w:tc>
                <w:tcPr>
                  <w:tcW w:type="dxa" w:w="1685"/>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Adjudication cycle time</w:t>
                  </w:r>
                </w:p>
              </w:tc>
              <w:tc>
                <w:tcPr>
                  <w:tcW w:type="dxa" w:w="1123"/>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−30%</w:t>
                  </w:r>
                </w:p>
              </w:tc>
            </w:tr>
            <w:tr>
              <w:tc>
                <w:tcPr>
                  <w:tcW w:type="dxa" w:w="1685"/>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Enrollment</w:t>
                  </w:r>
                </w:p>
              </w:tc>
              <w:tc>
                <w:tcPr>
                  <w:tcW w:type="dxa" w:w="1685"/>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Time-to-activation</w:t>
                  </w:r>
                </w:p>
              </w:tc>
              <w:tc>
                <w:tcPr>
                  <w:tcW w:type="dxa" w:w="1123"/>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−40%</w:t>
                  </w:r>
                </w:p>
              </w:tc>
            </w:tr>
            <w:tr>
              <w:tc>
                <w:tcPr>
                  <w:tcW w:type="dxa" w:w="1685"/>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Member Services</w:t>
                  </w:r>
                </w:p>
              </w:tc>
              <w:tc>
                <w:tcPr>
                  <w:tcW w:type="dxa" w:w="1685"/>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First-call resolution</w:t>
                  </w:r>
                </w:p>
              </w:tc>
              <w:tc>
                <w:tcPr>
                  <w:tcW w:type="dxa" w:w="1123"/>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+25%</w:t>
                  </w:r>
                </w:p>
              </w:tc>
            </w:tr>
            <w:tr>
              <w:tc>
                <w:tcPr>
                  <w:tcW w:type="dxa" w:w="1685"/>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Provider Ops</w:t>
                  </w:r>
                </w:p>
              </w:tc>
              <w:tc>
                <w:tcPr>
                  <w:tcW w:type="dxa" w:w="1685"/>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Auth processing time</w:t>
                  </w:r>
                </w:p>
              </w:tc>
              <w:tc>
                <w:tcPr>
                  <w:tcW w:type="dxa" w:w="1123"/>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−35%</w:t>
                  </w:r>
                </w:p>
              </w:tc>
            </w:tr>
            <w:tr>
              <w:tc>
                <w:tcPr>
                  <w:tcW w:type="dxa" w:w="1685"/>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Data &amp; Reporting</w:t>
                  </w:r>
                </w:p>
              </w:tc>
              <w:tc>
                <w:tcPr>
                  <w:tcW w:type="dxa" w:w="1685"/>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Report delivery latency</w:t>
                  </w:r>
                </w:p>
              </w:tc>
              <w:tc>
                <w:tcPr>
                  <w:tcW w:type="dxa" w:w="1123"/>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−50%</w:t>
                  </w:r>
                </w:p>
              </w:tc>
            </w:tr>
            <w:tr>
              <w:tc>
                <w:tcPr>
                  <w:tcW w:type="dxa" w:w="1685"/>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IT Operations</w:t>
                  </w:r>
                </w:p>
              </w:tc>
              <w:tc>
                <w:tcPr>
                  <w:tcW w:type="dxa" w:w="1685"/>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Auto-resolution rate</w:t>
                  </w:r>
                </w:p>
              </w:tc>
              <w:tc>
                <w:tcPr>
                  <w:tcW w:type="dxa" w:w="1123"/>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&gt;74%</w:t>
                  </w:r>
                </w:p>
              </w:tc>
            </w:tr>
          </w:tbl>
          <w:p>
            <w:pPr>
              <w:spacing w:after="100" w:before="0"/>
            </w:pPr>
            <w:r>
              <w:rPr>
                <w:rFonts w:ascii="Calibri" w:cs="Calibri" w:eastAsia="Calibri" w:hAnsi="Calibri"/>
                <w:b w:val="false"/>
                <w:bCs w:val="false"/>
                <w:i w:val="false"/>
                <w:iCs w:val="false"/>
                <w:color w:val="161616"/>
                <w:sz w:val="21"/>
                <w:szCs w:val="21"/>
              </w:rPr>
              <w:t xml:space="preserve"/>
            </w:r>
          </w:p>
          <w:p>
            <w:pPr>
              <w:spacing w:after="60" w:before="80"/>
            </w:pPr>
            <w:r>
              <w:rPr>
                <w:rFonts w:ascii="Calibri" w:cs="Calibri" w:eastAsia="Calibri" w:hAnsi="Calibri"/>
                <w:b/>
                <w:bCs/>
                <w:i w:val="false"/>
                <w:iCs w:val="false"/>
                <w:color w:val="001141"/>
                <w:sz w:val="21"/>
                <w:szCs w:val="21"/>
              </w:rPr>
              <w:t xml:space="preserve">Cumulative Cost Takeout</w:t>
            </w:r>
          </w:p>
          <w:p>
            <w:pPr>
              <w:spacing w:after="60" w:before="0"/>
            </w:pPr>
            <w:r>
              <w:rPr>
                <w:rFonts w:ascii="Calibri" w:cs="Calibri" w:eastAsia="Calibri" w:hAnsi="Calibri"/>
                <w:b w:val="false"/>
                <w:bCs w:val="false"/>
                <w:i/>
                <w:iCs/>
                <w:color w:val="8D8D8D"/>
                <w:sz w:val="18"/>
                <w:szCs w:val="18"/>
              </w:rPr>
              <w:t xml:space="preserve">Directional — baselines locked in Phase 0:</w:t>
            </w:r>
          </w:p>
          <w:tbl>
            <w:tblPr>
              <w:tblW w:type="dxa" w:w="4493"/>
              <w:tblBorders>
                <w:top w:val="none"/>
                <w:left w:val="none"/>
                <w:bottom w:val="none"/>
                <w:right w:val="none"/>
                <w:insideH w:val="single" w:color="auto" w:sz="4"/>
                <w:insideV w:val="single" w:color="auto" w:sz="4"/>
              </w:tblBorders>
              <w:tblLayout w:type="fixed"/>
            </w:tblPr>
            <w:tblGrid>
              <w:gridCol w:w="100"/>
              <w:gridCol w:w="100"/>
              <w:gridCol w:w="100"/>
              <w:gridCol w:w="100"/>
            </w:tblGrid>
            <w:tr>
              <w:tc>
                <w:tcPr>
                  <w:tcW w:type="dxa" w:w="2200"/>
                  <w:tcBorders>
                    <w:top w:val="none"/>
                    <w:left w:val="none"/>
                    <w:bottom w:val="none"/>
                    <w:right w:val="none"/>
                  </w:tcBorders>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3  — Ignite</w:t>
                  </w:r>
                </w:p>
              </w:tc>
              <w:tc>
                <w:tcPr>
                  <w:tcW w:type="dxa" w:w="516"/>
                  <w:tcBorders>
                    <w:top w:val="none"/>
                    <w:left w:val="none"/>
                    <w:bottom w:val="none"/>
                    <w:right w:val="none"/>
                  </w:tcBorders>
                  <w:shd w:fill="0072C3"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3784"/>
                  <w:tcBorders>
                    <w:top w:val="none"/>
                    <w:left w:val="none"/>
                    <w:bottom w:val="none"/>
                    <w:right w:val="none"/>
                  </w:tcBorders>
                  <w:shd w:fill="E0E0E0"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1460"/>
                  <w:tcBorders>
                    <w:top w:val="none"/>
                    <w:left w:val="none"/>
                    <w:bottom w:val="none"/>
                    <w:right w:val="none"/>
                  </w:tcBorders>
                  <w:tcMar>
                    <w:top w:type="dxa" w:w="40"/>
                    <w:left w:type="dxa" w:w="80"/>
                    <w:bottom w:type="dxa" w:w="40"/>
                  </w:tcMar>
                  <w:vAlign w:val="center"/>
                </w:tcPr>
                <w:p>
                  <w:pPr>
                    <w:spacing w:after="0" w:before="0"/>
                    <w:jc w:val="right"/>
                  </w:pPr>
                  <w:r>
                    <w:rPr>
                      <w:rFonts w:ascii="Calibri" w:cs="Calibri" w:eastAsia="Calibri" w:hAnsi="Calibri"/>
                      <w:b/>
                      <w:bCs/>
                      <w:i w:val="false"/>
                      <w:iCs w:val="false"/>
                      <w:color w:val="0072C3"/>
                      <w:sz w:val="18"/>
                      <w:szCs w:val="18"/>
                    </w:rPr>
                    <w:t xml:space="preserve">$1–2M</w:t>
                  </w:r>
                </w:p>
              </w:tc>
            </w:tr>
            <w:tr>
              <w:tc>
                <w:tcPr>
                  <w:tcW w:type="dxa" w:w="2200"/>
                  <w:tcBorders>
                    <w:top w:val="none"/>
                    <w:left w:val="none"/>
                    <w:bottom w:val="none"/>
                    <w:right w:val="none"/>
                  </w:tcBorders>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6  — Scale</w:t>
                  </w:r>
                </w:p>
              </w:tc>
              <w:tc>
                <w:tcPr>
                  <w:tcW w:type="dxa" w:w="1290"/>
                  <w:tcBorders>
                    <w:top w:val="none"/>
                    <w:left w:val="none"/>
                    <w:bottom w:val="none"/>
                    <w:right w:val="none"/>
                  </w:tcBorders>
                  <w:shd w:fill="0043CE"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3010"/>
                  <w:tcBorders>
                    <w:top w:val="none"/>
                    <w:left w:val="none"/>
                    <w:bottom w:val="none"/>
                    <w:right w:val="none"/>
                  </w:tcBorders>
                  <w:shd w:fill="E0E0E0"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1460"/>
                  <w:tcBorders>
                    <w:top w:val="none"/>
                    <w:left w:val="none"/>
                    <w:bottom w:val="none"/>
                    <w:right w:val="none"/>
                  </w:tcBorders>
                  <w:tcMar>
                    <w:top w:type="dxa" w:w="40"/>
                    <w:left w:type="dxa" w:w="80"/>
                    <w:bottom w:type="dxa" w:w="40"/>
                  </w:tcMar>
                  <w:vAlign w:val="center"/>
                </w:tcPr>
                <w:p>
                  <w:pPr>
                    <w:spacing w:after="0" w:before="0"/>
                    <w:jc w:val="right"/>
                  </w:pPr>
                  <w:r>
                    <w:rPr>
                      <w:rFonts w:ascii="Calibri" w:cs="Calibri" w:eastAsia="Calibri" w:hAnsi="Calibri"/>
                      <w:b/>
                      <w:bCs/>
                      <w:i w:val="false"/>
                      <w:iCs w:val="false"/>
                      <w:color w:val="0043CE"/>
                      <w:sz w:val="18"/>
                      <w:szCs w:val="18"/>
                    </w:rPr>
                    <w:t xml:space="preserve">$3–5M</w:t>
                  </w:r>
                </w:p>
              </w:tc>
            </w:tr>
            <w:tr>
              <w:tc>
                <w:tcPr>
                  <w:tcW w:type="dxa" w:w="2200"/>
                  <w:tcBorders>
                    <w:top w:val="none"/>
                    <w:left w:val="none"/>
                    <w:bottom w:val="none"/>
                    <w:right w:val="none"/>
                  </w:tcBorders>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12 — Optimize</w:t>
                  </w:r>
                </w:p>
              </w:tc>
              <w:tc>
                <w:tcPr>
                  <w:tcW w:type="dxa" w:w="2580"/>
                  <w:tcBorders>
                    <w:top w:val="none"/>
                    <w:left w:val="none"/>
                    <w:bottom w:val="none"/>
                    <w:right w:val="none"/>
                  </w:tcBorders>
                  <w:shd w:fill="0F62FE"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1720"/>
                  <w:tcBorders>
                    <w:top w:val="none"/>
                    <w:left w:val="none"/>
                    <w:bottom w:val="none"/>
                    <w:right w:val="none"/>
                  </w:tcBorders>
                  <w:shd w:fill="E0E0E0"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1460"/>
                  <w:tcBorders>
                    <w:top w:val="none"/>
                    <w:left w:val="none"/>
                    <w:bottom w:val="none"/>
                    <w:right w:val="none"/>
                  </w:tcBorders>
                  <w:tcMar>
                    <w:top w:type="dxa" w:w="40"/>
                    <w:left w:type="dxa" w:w="80"/>
                    <w:bottom w:type="dxa" w:w="40"/>
                  </w:tcMar>
                  <w:vAlign w:val="center"/>
                </w:tcPr>
                <w:p>
                  <w:pPr>
                    <w:spacing w:after="0" w:before="0"/>
                    <w:jc w:val="right"/>
                  </w:pPr>
                  <w:r>
                    <w:rPr>
                      <w:rFonts w:ascii="Calibri" w:cs="Calibri" w:eastAsia="Calibri" w:hAnsi="Calibri"/>
                      <w:b/>
                      <w:bCs/>
                      <w:i w:val="false"/>
                      <w:iCs w:val="false"/>
                      <w:color w:val="0F62FE"/>
                      <w:sz w:val="18"/>
                      <w:szCs w:val="18"/>
                    </w:rPr>
                    <w:t xml:space="preserve">$6–10M</w:t>
                  </w:r>
                </w:p>
              </w:tc>
            </w:tr>
            <w:tr>
              <w:tc>
                <w:tcPr>
                  <w:tcW w:type="dxa" w:w="2200"/>
                  <w:tcBorders>
                    <w:top w:val="none"/>
                    <w:left w:val="none"/>
                    <w:bottom w:val="none"/>
                    <w:right w:val="none"/>
                  </w:tcBorders>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24 — Transform</w:t>
                  </w:r>
                </w:p>
              </w:tc>
              <w:tc>
                <w:tcPr>
                  <w:tcW w:type="dxa" w:w="4300"/>
                  <w:tcBorders>
                    <w:top w:val="none"/>
                    <w:left w:val="none"/>
                    <w:bottom w:val="none"/>
                    <w:right w:val="none"/>
                  </w:tcBorders>
                  <w:shd w:fill="001141"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0"/>
                  <w:tcBorders>
                    <w:top w:val="none"/>
                    <w:left w:val="none"/>
                    <w:bottom w:val="none"/>
                    <w:right w:val="none"/>
                  </w:tcBorders>
                  <w:shd w:fill="E0E0E0"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1460"/>
                  <w:tcBorders>
                    <w:top w:val="none"/>
                    <w:left w:val="none"/>
                    <w:bottom w:val="none"/>
                    <w:right w:val="none"/>
                  </w:tcBorders>
                  <w:tcMar>
                    <w:top w:type="dxa" w:w="40"/>
                    <w:left w:type="dxa" w:w="80"/>
                    <w:bottom w:type="dxa" w:w="40"/>
                  </w:tcMar>
                  <w:vAlign w:val="center"/>
                </w:tcPr>
                <w:p>
                  <w:pPr>
                    <w:spacing w:after="0" w:before="0"/>
                    <w:jc w:val="right"/>
                  </w:pPr>
                  <w:r>
                    <w:rPr>
                      <w:rFonts w:ascii="Calibri" w:cs="Calibri" w:eastAsia="Calibri" w:hAnsi="Calibri"/>
                      <w:b/>
                      <w:bCs/>
                      <w:i w:val="false"/>
                      <w:iCs w:val="false"/>
                      <w:color w:val="001141"/>
                      <w:sz w:val="18"/>
                      <w:szCs w:val="18"/>
                    </w:rPr>
                    <w:t xml:space="preserve">$12–18M+</w:t>
                  </w:r>
                </w:p>
              </w:tc>
            </w:tr>
          </w:tbl>
          <w:p/>
        </w:tc>
        <w:tc>
          <w:tcPr>
            <w:tcW w:type="dxa" w:w="374"/>
            <w:tcBorders>
              <w:top w:val="none"/>
              <w:left w:val="none"/>
              <w:bottom w:val="none"/>
              <w:right w:val="none"/>
            </w:tcBorders>
          </w:tcPr>
          <w:p>
            <w:pPr>
              <w:spacing w:after="0" w:before="0"/>
            </w:pPr>
            <w:r>
              <w:rPr>
                <w:rFonts w:ascii="Calibri" w:cs="Calibri" w:eastAsia="Calibri" w:hAnsi="Calibri"/>
                <w:b w:val="false"/>
                <w:bCs w:val="false"/>
                <w:i w:val="false"/>
                <w:iCs w:val="false"/>
                <w:color w:val="161616"/>
                <w:sz w:val="21"/>
                <w:szCs w:val="21"/>
              </w:rPr>
              <w:t xml:space="preserve"/>
            </w:r>
          </w:p>
        </w:tc>
        <w:tc>
          <w:tcPr>
            <w:tcW w:type="dxa" w:w="4493"/>
            <w:tcBorders>
              <w:top w:val="none"/>
              <w:left w:val="none"/>
              <w:bottom w:val="none"/>
              <w:right w:val="none"/>
            </w:tcBorders>
            <w:tcMar>
              <w:left w:type="dxa" w:w="160"/>
            </w:tcMar>
          </w:tcPr>
          <w:p>
            <w:pPr>
              <w:spacing w:after="60" w:before="0"/>
            </w:pPr>
            <w:r>
              <w:rPr>
                <w:rFonts w:ascii="Calibri" w:cs="Calibri" w:eastAsia="Calibri" w:hAnsi="Calibri"/>
                <w:b/>
                <w:bCs/>
                <w:i w:val="false"/>
                <w:iCs w:val="false"/>
                <w:color w:val="001141"/>
                <w:sz w:val="21"/>
                <w:szCs w:val="21"/>
              </w:rPr>
              <w:t xml:space="preserve">Annual Value by Initiative</w:t>
            </w:r>
          </w:p>
          <w:p>
            <w:pPr>
              <w:spacing w:after="60" w:before="0"/>
            </w:pPr>
            <w:r>
              <w:rPr>
                <w:rFonts w:ascii="Calibri" w:cs="Calibri" w:eastAsia="Calibri" w:hAnsi="Calibri"/>
                <w:b w:val="false"/>
                <w:bCs w:val="false"/>
                <w:i/>
                <w:iCs/>
                <w:color w:val="8D8D8D"/>
                <w:sz w:val="18"/>
                <w:szCs w:val="18"/>
              </w:rPr>
              <w:t xml:space="preserve">Directional annual contribution:</w:t>
            </w:r>
          </w:p>
          <w:tbl>
            <w:tblPr>
              <w:tblW w:type="dxa" w:w="4493"/>
              <w:tblBorders>
                <w:top w:val="none"/>
                <w:left w:val="none"/>
                <w:bottom w:val="none"/>
                <w:right w:val="none"/>
                <w:insideH w:val="single" w:color="auto" w:sz="4"/>
                <w:insideV w:val="single" w:color="auto" w:sz="4"/>
              </w:tblBorders>
              <w:tblLayout w:type="fixed"/>
            </w:tblPr>
            <w:tblGrid>
              <w:gridCol w:w="100"/>
              <w:gridCol w:w="100"/>
              <w:gridCol w:w="100"/>
              <w:gridCol w:w="100"/>
            </w:tblGrid>
            <w:tr>
              <w:tc>
                <w:tcPr>
                  <w:tcW w:type="dxa" w:w="2400"/>
                  <w:tcBorders>
                    <w:top w:val="none"/>
                    <w:left w:val="none"/>
                    <w:bottom w:val="none"/>
                    <w:right w:val="none"/>
                  </w:tcBorders>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AIOps &amp; Self-Healing</w:t>
                  </w:r>
                </w:p>
              </w:tc>
              <w:tc>
                <w:tcPr>
                  <w:tcW w:type="dxa" w:w="3230"/>
                  <w:tcBorders>
                    <w:top w:val="none"/>
                    <w:left w:val="none"/>
                    <w:bottom w:val="none"/>
                    <w:right w:val="none"/>
                  </w:tcBorders>
                  <w:shd w:fill="0F62FE"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570"/>
                  <w:tcBorders>
                    <w:top w:val="none"/>
                    <w:left w:val="none"/>
                    <w:bottom w:val="none"/>
                    <w:right w:val="none"/>
                  </w:tcBorders>
                  <w:shd w:fill="E0E0E0"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1760"/>
                  <w:tcBorders>
                    <w:top w:val="none"/>
                    <w:left w:val="none"/>
                    <w:bottom w:val="none"/>
                    <w:right w:val="none"/>
                  </w:tcBorders>
                  <w:tcMar>
                    <w:top w:type="dxa" w:w="40"/>
                    <w:left w:type="dxa" w:w="80"/>
                    <w:bottom w:type="dxa" w:w="40"/>
                  </w:tcMar>
                  <w:vAlign w:val="center"/>
                </w:tcPr>
                <w:p>
                  <w:pPr>
                    <w:spacing w:after="0" w:before="0"/>
                    <w:jc w:val="right"/>
                  </w:pPr>
                  <w:r>
                    <w:rPr>
                      <w:rFonts w:ascii="Calibri" w:cs="Calibri" w:eastAsia="Calibri" w:hAnsi="Calibri"/>
                      <w:b/>
                      <w:bCs/>
                      <w:i w:val="false"/>
                      <w:iCs w:val="false"/>
                      <w:color w:val="0F62FE"/>
                      <w:sz w:val="18"/>
                      <w:szCs w:val="18"/>
                    </w:rPr>
                    <w:t xml:space="preserve">$3.5–6.5M</w:t>
                  </w:r>
                </w:p>
              </w:tc>
            </w:tr>
            <w:tr>
              <w:tc>
                <w:tcPr>
                  <w:tcW w:type="dxa" w:w="2400"/>
                  <w:tcBorders>
                    <w:top w:val="none"/>
                    <w:left w:val="none"/>
                    <w:bottom w:val="none"/>
                    <w:right w:val="none"/>
                  </w:tcBorders>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GenAI Quality Engine</w:t>
                  </w:r>
                </w:p>
              </w:tc>
              <w:tc>
                <w:tcPr>
                  <w:tcW w:type="dxa" w:w="2736"/>
                  <w:tcBorders>
                    <w:top w:val="none"/>
                    <w:left w:val="none"/>
                    <w:bottom w:val="none"/>
                    <w:right w:val="none"/>
                  </w:tcBorders>
                  <w:shd w:fill="007D79"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1064"/>
                  <w:tcBorders>
                    <w:top w:val="none"/>
                    <w:left w:val="none"/>
                    <w:bottom w:val="none"/>
                    <w:right w:val="none"/>
                  </w:tcBorders>
                  <w:shd w:fill="E0E0E0"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1760"/>
                  <w:tcBorders>
                    <w:top w:val="none"/>
                    <w:left w:val="none"/>
                    <w:bottom w:val="none"/>
                    <w:right w:val="none"/>
                  </w:tcBorders>
                  <w:tcMar>
                    <w:top w:type="dxa" w:w="40"/>
                    <w:left w:type="dxa" w:w="80"/>
                    <w:bottom w:type="dxa" w:w="40"/>
                  </w:tcMar>
                  <w:vAlign w:val="center"/>
                </w:tcPr>
                <w:p>
                  <w:pPr>
                    <w:spacing w:after="0" w:before="0"/>
                    <w:jc w:val="right"/>
                  </w:pPr>
                  <w:r>
                    <w:rPr>
                      <w:rFonts w:ascii="Calibri" w:cs="Calibri" w:eastAsia="Calibri" w:hAnsi="Calibri"/>
                      <w:b/>
                      <w:bCs/>
                      <w:i w:val="false"/>
                      <w:iCs w:val="false"/>
                      <w:color w:val="007D79"/>
                      <w:sz w:val="18"/>
                      <w:szCs w:val="18"/>
                    </w:rPr>
                    <w:t xml:space="preserve">$2.5–4.0M</w:t>
                  </w:r>
                </w:p>
              </w:tc>
            </w:tr>
            <w:tr>
              <w:tc>
                <w:tcPr>
                  <w:tcW w:type="dxa" w:w="2400"/>
                  <w:tcBorders>
                    <w:top w:val="none"/>
                    <w:left w:val="none"/>
                    <w:bottom w:val="none"/>
                    <w:right w:val="none"/>
                  </w:tcBorders>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Zero-Touch Delivery</w:t>
                  </w:r>
                </w:p>
              </w:tc>
              <w:tc>
                <w:tcPr>
                  <w:tcW w:type="dxa" w:w="2280"/>
                  <w:tcBorders>
                    <w:top w:val="none"/>
                    <w:left w:val="none"/>
                    <w:bottom w:val="none"/>
                    <w:right w:val="none"/>
                  </w:tcBorders>
                  <w:shd w:fill="0043CE"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1520"/>
                  <w:tcBorders>
                    <w:top w:val="none"/>
                    <w:left w:val="none"/>
                    <w:bottom w:val="none"/>
                    <w:right w:val="none"/>
                  </w:tcBorders>
                  <w:shd w:fill="E0E0E0"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1760"/>
                  <w:tcBorders>
                    <w:top w:val="none"/>
                    <w:left w:val="none"/>
                    <w:bottom w:val="none"/>
                    <w:right w:val="none"/>
                  </w:tcBorders>
                  <w:tcMar>
                    <w:top w:type="dxa" w:w="40"/>
                    <w:left w:type="dxa" w:w="80"/>
                    <w:bottom w:type="dxa" w:w="40"/>
                  </w:tcMar>
                  <w:vAlign w:val="center"/>
                </w:tcPr>
                <w:p>
                  <w:pPr>
                    <w:spacing w:after="0" w:before="0"/>
                    <w:jc w:val="right"/>
                  </w:pPr>
                  <w:r>
                    <w:rPr>
                      <w:rFonts w:ascii="Calibri" w:cs="Calibri" w:eastAsia="Calibri" w:hAnsi="Calibri"/>
                      <w:b/>
                      <w:bCs/>
                      <w:i w:val="false"/>
                      <w:iCs w:val="false"/>
                      <w:color w:val="0043CE"/>
                      <w:sz w:val="18"/>
                      <w:szCs w:val="18"/>
                    </w:rPr>
                    <w:t xml:space="preserve">$2.0–3.0M</w:t>
                  </w:r>
                </w:p>
              </w:tc>
            </w:tr>
            <w:tr>
              <w:tc>
                <w:tcPr>
                  <w:tcW w:type="dxa" w:w="2400"/>
                  <w:tcBorders>
                    <w:top w:val="none"/>
                    <w:left w:val="none"/>
                    <w:bottom w:val="none"/>
                    <w:right w:val="none"/>
                  </w:tcBorders>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Platform Modernisation</w:t>
                  </w:r>
                </w:p>
              </w:tc>
              <w:tc>
                <w:tcPr>
                  <w:tcW w:type="dxa" w:w="1824"/>
                  <w:tcBorders>
                    <w:top w:val="none"/>
                    <w:left w:val="none"/>
                    <w:bottom w:val="none"/>
                    <w:right w:val="none"/>
                  </w:tcBorders>
                  <w:shd w:fill="6929C4"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1976"/>
                  <w:tcBorders>
                    <w:top w:val="none"/>
                    <w:left w:val="none"/>
                    <w:bottom w:val="none"/>
                    <w:right w:val="none"/>
                  </w:tcBorders>
                  <w:shd w:fill="E0E0E0"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1760"/>
                  <w:tcBorders>
                    <w:top w:val="none"/>
                    <w:left w:val="none"/>
                    <w:bottom w:val="none"/>
                    <w:right w:val="none"/>
                  </w:tcBorders>
                  <w:tcMar>
                    <w:top w:type="dxa" w:w="40"/>
                    <w:left w:type="dxa" w:w="80"/>
                    <w:bottom w:type="dxa" w:w="40"/>
                  </w:tcMar>
                  <w:vAlign w:val="center"/>
                </w:tcPr>
                <w:p>
                  <w:pPr>
                    <w:spacing w:after="0" w:before="0"/>
                    <w:jc w:val="right"/>
                  </w:pPr>
                  <w:r>
                    <w:rPr>
                      <w:rFonts w:ascii="Calibri" w:cs="Calibri" w:eastAsia="Calibri" w:hAnsi="Calibri"/>
                      <w:b/>
                      <w:bCs/>
                      <w:i w:val="false"/>
                      <w:iCs w:val="false"/>
                      <w:color w:val="6929C4"/>
                      <w:sz w:val="18"/>
                      <w:szCs w:val="18"/>
                    </w:rPr>
                    <w:t xml:space="preserve">$1.5–2.5M</w:t>
                  </w:r>
                </w:p>
              </w:tc>
            </w:tr>
            <w:tr>
              <w:tc>
                <w:tcPr>
                  <w:tcW w:type="dxa" w:w="2400"/>
                  <w:tcBorders>
                    <w:top w:val="none"/>
                    <w:left w:val="none"/>
                    <w:bottom w:val="none"/>
                    <w:right w:val="none"/>
                  </w:tcBorders>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Demand &amp; Ticket Reduction</w:t>
                  </w:r>
                </w:p>
              </w:tc>
              <w:tc>
                <w:tcPr>
                  <w:tcW w:type="dxa" w:w="2090"/>
                  <w:tcBorders>
                    <w:top w:val="none"/>
                    <w:left w:val="none"/>
                    <w:bottom w:val="none"/>
                    <w:right w:val="none"/>
                  </w:tcBorders>
                  <w:shd w:fill="005D5D"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1710"/>
                  <w:tcBorders>
                    <w:top w:val="none"/>
                    <w:left w:val="none"/>
                    <w:bottom w:val="none"/>
                    <w:right w:val="none"/>
                  </w:tcBorders>
                  <w:shd w:fill="E0E0E0"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1760"/>
                  <w:tcBorders>
                    <w:top w:val="none"/>
                    <w:left w:val="none"/>
                    <w:bottom w:val="none"/>
                    <w:right w:val="none"/>
                  </w:tcBorders>
                  <w:tcMar>
                    <w:top w:type="dxa" w:w="40"/>
                    <w:left w:type="dxa" w:w="80"/>
                    <w:bottom w:type="dxa" w:w="40"/>
                  </w:tcMar>
                  <w:vAlign w:val="center"/>
                </w:tcPr>
                <w:p>
                  <w:pPr>
                    <w:spacing w:after="0" w:before="0"/>
                    <w:jc w:val="right"/>
                  </w:pPr>
                  <w:r>
                    <w:rPr>
                      <w:rFonts w:ascii="Calibri" w:cs="Calibri" w:eastAsia="Calibri" w:hAnsi="Calibri"/>
                      <w:b/>
                      <w:bCs/>
                      <w:i w:val="false"/>
                      <w:iCs w:val="false"/>
                      <w:color w:val="005D5D"/>
                      <w:sz w:val="18"/>
                      <w:szCs w:val="18"/>
                    </w:rPr>
                    <w:t xml:space="preserve">$1.0–2.0M</w:t>
                  </w:r>
                </w:p>
              </w:tc>
            </w:tr>
          </w:tbl>
          <w:p>
            <w:pPr>
              <w:spacing w:after="100" w:before="0"/>
            </w:pPr>
            <w:r>
              <w:rPr>
                <w:rFonts w:ascii="Calibri" w:cs="Calibri" w:eastAsia="Calibri" w:hAnsi="Calibri"/>
                <w:b w:val="false"/>
                <w:bCs w:val="false"/>
                <w:i w:val="false"/>
                <w:iCs w:val="false"/>
                <w:color w:val="161616"/>
                <w:sz w:val="21"/>
                <w:szCs w:val="21"/>
              </w:rPr>
              <w:t xml:space="preserve"/>
            </w:r>
          </w:p>
          <w:p>
            <w:pPr>
              <w:spacing w:after="60" w:before="80"/>
            </w:pPr>
            <w:r>
              <w:rPr>
                <w:rFonts w:ascii="Calibri" w:cs="Calibri" w:eastAsia="Calibri" w:hAnsi="Calibri"/>
                <w:b/>
                <w:bCs/>
                <w:i w:val="false"/>
                <w:iCs w:val="false"/>
                <w:color w:val="001141"/>
                <w:sz w:val="21"/>
                <w:szCs w:val="21"/>
              </w:rPr>
              <w:t xml:space="preserve">Three-Tier Governance</w:t>
            </w:r>
          </w:p>
          <w:p>
            <w:pPr>
              <w:spacing w:after="20" w:before="80"/>
            </w:pPr>
            <w:r>
              <w:rPr>
                <w:rFonts w:ascii="Calibri" w:cs="Calibri" w:eastAsia="Calibri" w:hAnsi="Calibri"/>
                <w:b/>
                <w:bCs/>
                <w:i w:val="false"/>
                <w:iCs w:val="false"/>
                <w:color w:val="0F62FE"/>
                <w:sz w:val="20"/>
                <w:szCs w:val="20"/>
              </w:rPr>
              <w:t xml:space="preserve">Operational (Weekly)</w:t>
            </w:r>
          </w:p>
          <w:p>
            <w:pPr>
              <w:spacing w:after="20" w:before="0"/>
            </w:pPr>
            <w:r>
              <w:rPr>
                <w:rFonts w:ascii="Calibri" w:cs="Calibri" w:eastAsia="Calibri" w:hAnsi="Calibri"/>
                <w:b w:val="false"/>
                <w:bCs w:val="false"/>
                <w:i w:val="false"/>
                <w:iCs w:val="false"/>
                <w:color w:val="525252"/>
                <w:sz w:val="19"/>
                <w:szCs w:val="19"/>
              </w:rPr>
              <w:t xml:space="preserve">SLA adherence, MTTR, pipeline velocity — live in CareOps360.</w:t>
            </w:r>
          </w:p>
          <w:p>
            <w:pPr>
              <w:spacing w:after="20" w:before="80"/>
            </w:pPr>
            <w:r>
              <w:rPr>
                <w:rFonts w:ascii="Calibri" w:cs="Calibri" w:eastAsia="Calibri" w:hAnsi="Calibri"/>
                <w:b/>
                <w:bCs/>
                <w:i w:val="false"/>
                <w:iCs w:val="false"/>
                <w:color w:val="0F62FE"/>
                <w:sz w:val="20"/>
                <w:szCs w:val="20"/>
              </w:rPr>
              <w:t xml:space="preserve">Executive (Monthly)</w:t>
            </w:r>
          </w:p>
          <w:p>
            <w:pPr>
              <w:spacing w:after="20" w:before="0"/>
            </w:pPr>
            <w:r>
              <w:rPr>
                <w:rFonts w:ascii="Calibri" w:cs="Calibri" w:eastAsia="Calibri" w:hAnsi="Calibri"/>
                <w:b w:val="false"/>
                <w:bCs w:val="false"/>
                <w:i w:val="false"/>
                <w:iCs w:val="false"/>
                <w:color w:val="525252"/>
                <w:sz w:val="19"/>
                <w:szCs w:val="19"/>
              </w:rPr>
              <w:t xml:space="preserve">Cost takeout actuals, coverage progress, business KPI movement.</w:t>
            </w:r>
          </w:p>
          <w:p>
            <w:pPr>
              <w:spacing w:after="20" w:before="80"/>
            </w:pPr>
            <w:r>
              <w:rPr>
                <w:rFonts w:ascii="Calibri" w:cs="Calibri" w:eastAsia="Calibri" w:hAnsi="Calibri"/>
                <w:b/>
                <w:bCs/>
                <w:i w:val="false"/>
                <w:iCs w:val="false"/>
                <w:color w:val="0F62FE"/>
                <w:sz w:val="20"/>
                <w:szCs w:val="20"/>
              </w:rPr>
              <w:t xml:space="preserve">Board (Quarterly)</w:t>
            </w:r>
          </w:p>
          <w:p>
            <w:pPr>
              <w:spacing w:after="20" w:before="0"/>
            </w:pPr>
            <w:r>
              <w:rPr>
                <w:rFonts w:ascii="Calibri" w:cs="Calibri" w:eastAsia="Calibri" w:hAnsi="Calibri"/>
                <w:b w:val="false"/>
                <w:bCs w:val="false"/>
                <w:i w:val="false"/>
                <w:iCs w:val="false"/>
                <w:color w:val="525252"/>
                <w:sz w:val="19"/>
                <w:szCs w:val="19"/>
              </w:rPr>
              <w:t xml:space="preserve">Strategic outcomes: total value realised, innovation delivered.</w:t>
            </w:r>
          </w:p>
        </w:tc>
      </w:tr>
    </w:tbl>
    <w:p>
      <w:pPr>
        <w:spacing w:after="0" w:before="0"/>
      </w:pPr>
      <w:r>
        <w:br w:type="page"/>
      </w:r>
    </w:p>
    <w:p>
      <w:pPr>
        <w:pBdr>
          <w:top w:val="single" w:color="0F62FE" w:sz="12" w:space="6"/>
        </w:pBdr>
        <w:spacing w:after="20" w:before="240"/>
      </w:pPr>
    </w:p>
    <w:p>
      <w:pPr>
        <w:spacing w:after="20" w:before="20"/>
      </w:pPr>
      <w:r>
        <w:rPr>
          <w:rFonts w:ascii="Calibri" w:cs="Calibri" w:eastAsia="Calibri" w:hAnsi="Calibri"/>
          <w:b/>
          <w:bCs/>
          <w:i w:val="false"/>
          <w:iCs w:val="false"/>
          <w:color w:val="0F62FE"/>
          <w:sz w:val="16"/>
          <w:szCs w:val="16"/>
        </w:rPr>
        <w:t xml:space="preserve">7.0  </w:t>
      </w:r>
      <w:r>
        <w:rPr>
          <w:rFonts w:ascii="Calibri" w:cs="Calibri" w:eastAsia="Calibri" w:hAnsi="Calibri"/>
          <w:b/>
          <w:bCs/>
          <w:i w:val="false"/>
          <w:iCs w:val="false"/>
          <w:color w:val="001141"/>
          <w:sz w:val="26"/>
          <w:szCs w:val="26"/>
        </w:rPr>
        <w:t xml:space="preserve">PLATFORM &amp; DATA MODERNISATION</w:t>
      </w:r>
      <w:r>
        <w:rPr>
          <w:rFonts w:ascii="Calibri" w:cs="Calibri" w:eastAsia="Calibri" w:hAnsi="Calibri"/>
          <w:b w:val="false"/>
          <w:bCs w:val="false"/>
          <w:i/>
          <w:iCs/>
          <w:color w:val="8D8D8D"/>
          <w:sz w:val="19"/>
          <w:szCs w:val="19"/>
        </w:rPr>
        <w:t xml:space="preserve">   Eliminating the debt that slows everything down</w:t>
      </w:r>
    </w:p>
    <w:p>
      <w:pPr>
        <w:spacing w:after="60" w:before="0"/>
      </w:pPr>
      <w:r>
        <w:rPr>
          <w:rFonts w:ascii="Calibri" w:cs="Calibri" w:eastAsia="Calibri" w:hAnsi="Calibri"/>
          <w:b w:val="false"/>
          <w:bCs w:val="false"/>
          <w:i w:val="false"/>
          <w:iCs w:val="false"/>
          <w:color w:val="161616"/>
          <w:sz w:val="21"/>
          <w:szCs w:val="21"/>
        </w:rPr>
        <w:t xml:space="preserve">IBM embeds modernisation into steady-state delivery — no separate programme, no disruption to BAU. Every sprint may include a modernisation action. Technical debt is tracked by business impact and burned down systematically, continuously.</w:t>
      </w:r>
    </w:p>
    <w:p>
      <w:pPr>
        <w:spacing w:after="60" w:before="0"/>
      </w:pPr>
      <w:r>
        <w:rPr>
          <w:rFonts w:ascii="Calibri" w:cs="Calibri" w:eastAsia="Calibri" w:hAnsi="Calibri"/>
          <w:b w:val="false"/>
          <w:bCs w:val="false"/>
          <w:i w:val="false"/>
          <w:iCs w:val="false"/>
          <w:color w:val="161616"/>
          <w:sz w:val="21"/>
          <w:szCs w:val="21"/>
        </w:rPr>
        <w:t xml:space="preserve"/>
      </w:r>
    </w:p>
    <w:tbl>
      <w:tblPr>
        <w:tblW w:type="dxa" w:w="9360"/>
        <w:tblBorders>
          <w:top w:val="none"/>
          <w:left w:val="none"/>
          <w:bottom w:val="none"/>
          <w:right w:val="none"/>
          <w:insideH w:val="single" w:color="auto" w:sz="4"/>
          <w:insideV w:val="single" w:color="auto" w:sz="4"/>
        </w:tblBorders>
        <w:tblLayout w:type="fixed"/>
      </w:tblPr>
      <w:tblGrid>
        <w:gridCol w:w="100"/>
        <w:gridCol w:w="100"/>
        <w:gridCol w:w="100"/>
      </w:tblGrid>
      <w:tr>
        <w:tc>
          <w:tcPr>
            <w:tcW w:type="dxa" w:w="4493"/>
            <w:tcBorders>
              <w:top w:val="none"/>
              <w:left w:val="none"/>
              <w:bottom w:val="none"/>
              <w:right w:val="none"/>
            </w:tcBorders>
            <w:tcMar>
              <w:right w:type="dxa" w:w="160"/>
            </w:tcMar>
          </w:tcPr>
          <w:p>
            <w:pPr>
              <w:spacing w:after="60" w:before="0"/>
            </w:pPr>
            <w:r>
              <w:rPr>
                <w:rFonts w:ascii="Calibri" w:cs="Calibri" w:eastAsia="Calibri" w:hAnsi="Calibri"/>
                <w:b/>
                <w:bCs/>
                <w:i w:val="false"/>
                <w:iCs w:val="false"/>
                <w:color w:val="001141"/>
                <w:sz w:val="21"/>
                <w:szCs w:val="21"/>
              </w:rPr>
              <w:t xml:space="preserve">Modernisation Waves</w:t>
            </w:r>
          </w:p>
          <w:tbl>
            <w:tblPr>
              <w:tblW w:type="dxa" w:w="4493"/>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tcW w:type="dxa" w:w="1872"/>
                  <w:tcBorders>
                    <w:top w:val="single" w:color="0F62FE" w:sz="6"/>
                    <w:left w:val="single" w:color="E0E0E0" w:sz="2"/>
                    <w:bottom w:val="single" w:color="0F62FE" w:sz="3"/>
                    <w:right w:val="single" w:color="E0E0E0" w:sz="2"/>
                  </w:tcBorders>
                  <w:shd w:fill="D0E2FF" w:val="solid"/>
                  <w:tcMar>
                    <w:top w:type="dxa" w:w="40"/>
                    <w:left w:type="dxa" w:w="120"/>
                    <w:bottom w:type="dxa" w:w="40"/>
                    <w:right w:type="dxa" w:w="120"/>
                  </w:tcMar>
                </w:tcPr>
                <w:p>
                  <w:pPr>
                    <w:spacing w:after="60" w:before="60"/>
                  </w:pPr>
                  <w:r>
                    <w:rPr>
                      <w:rFonts w:ascii="Calibri" w:cs="Calibri" w:eastAsia="Calibri" w:hAnsi="Calibri"/>
                      <w:b/>
                      <w:bCs/>
                      <w:i w:val="false"/>
                      <w:iCs w:val="false"/>
                      <w:color w:val="001141"/>
                      <w:sz w:val="19"/>
                      <w:szCs w:val="19"/>
                    </w:rPr>
                    <w:t xml:space="preserve">Workstream</w:t>
                  </w:r>
                </w:p>
              </w:tc>
              <w:tc>
                <w:tcPr>
                  <w:tcW w:type="dxa" w:w="1685"/>
                  <w:tcBorders>
                    <w:top w:val="single" w:color="0F62FE" w:sz="6"/>
                    <w:left w:val="single" w:color="E0E0E0" w:sz="2"/>
                    <w:bottom w:val="single" w:color="0F62FE" w:sz="3"/>
                    <w:right w:val="single" w:color="E0E0E0" w:sz="2"/>
                  </w:tcBorders>
                  <w:shd w:fill="D0E2FF" w:val="solid"/>
                  <w:tcMar>
                    <w:top w:type="dxa" w:w="40"/>
                    <w:left w:type="dxa" w:w="120"/>
                    <w:bottom w:type="dxa" w:w="40"/>
                    <w:right w:type="dxa" w:w="120"/>
                  </w:tcMar>
                </w:tcPr>
                <w:p>
                  <w:pPr>
                    <w:spacing w:after="60" w:before="60"/>
                  </w:pPr>
                  <w:r>
                    <w:rPr>
                      <w:rFonts w:ascii="Calibri" w:cs="Calibri" w:eastAsia="Calibri" w:hAnsi="Calibri"/>
                      <w:b/>
                      <w:bCs/>
                      <w:i w:val="false"/>
                      <w:iCs w:val="false"/>
                      <w:color w:val="001141"/>
                      <w:sz w:val="19"/>
                      <w:szCs w:val="19"/>
                    </w:rPr>
                    <w:t xml:space="preserve">Approach</w:t>
                  </w:r>
                </w:p>
              </w:tc>
              <w:tc>
                <w:tcPr>
                  <w:tcW w:type="dxa" w:w="936"/>
                  <w:tcBorders>
                    <w:top w:val="single" w:color="0F62FE" w:sz="6"/>
                    <w:left w:val="single" w:color="E0E0E0" w:sz="2"/>
                    <w:bottom w:val="single" w:color="0F62FE" w:sz="3"/>
                    <w:right w:val="single" w:color="E0E0E0" w:sz="2"/>
                  </w:tcBorders>
                  <w:shd w:fill="D0E2FF" w:val="solid"/>
                  <w:tcMar>
                    <w:top w:type="dxa" w:w="40"/>
                    <w:left w:type="dxa" w:w="120"/>
                    <w:bottom w:type="dxa" w:w="40"/>
                    <w:right w:type="dxa" w:w="120"/>
                  </w:tcMar>
                </w:tcPr>
                <w:p>
                  <w:pPr>
                    <w:spacing w:after="60" w:before="60"/>
                  </w:pPr>
                  <w:r>
                    <w:rPr>
                      <w:rFonts w:ascii="Calibri" w:cs="Calibri" w:eastAsia="Calibri" w:hAnsi="Calibri"/>
                      <w:b/>
                      <w:bCs/>
                      <w:i w:val="false"/>
                      <w:iCs w:val="false"/>
                      <w:color w:val="001141"/>
                      <w:sz w:val="19"/>
                      <w:szCs w:val="19"/>
                    </w:rPr>
                    <w:t xml:space="preserve">Wave</w:t>
                  </w:r>
                </w:p>
              </w:tc>
            </w:tr>
            <w:tr>
              <w:tc>
                <w:tcPr>
                  <w:tcW w:type="dxa" w:w="1872"/>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Integration Hub</w:t>
                  </w:r>
                </w:p>
              </w:tc>
              <w:tc>
                <w:tcPr>
                  <w:tcW w:type="dxa" w:w="1685"/>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API-first + event streaming</w:t>
                  </w:r>
                </w:p>
              </w:tc>
              <w:tc>
                <w:tcPr>
                  <w:tcW w:type="dxa" w:w="936"/>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8"/>
                      <w:szCs w:val="18"/>
                    </w:rPr>
                    <w:t xml:space="preserve">Wave 1</w:t>
                  </w:r>
                </w:p>
              </w:tc>
            </w:tr>
            <w:tr>
              <w:tc>
                <w:tcPr>
                  <w:tcW w:type="dxa" w:w="1872"/>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Mainframe APIs</w:t>
                  </w:r>
                </w:p>
              </w:tc>
              <w:tc>
                <w:tcPr>
                  <w:tcW w:type="dxa" w:w="1685"/>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API-wrap strategy</w:t>
                  </w:r>
                </w:p>
              </w:tc>
              <w:tc>
                <w:tcPr>
                  <w:tcW w:type="dxa" w:w="936"/>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8"/>
                      <w:szCs w:val="18"/>
                    </w:rPr>
                    <w:t xml:space="preserve">Wave 1</w:t>
                  </w:r>
                </w:p>
              </w:tc>
            </w:tr>
            <w:tr>
              <w:tc>
                <w:tcPr>
                  <w:tcW w:type="dxa" w:w="1872"/>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DataOps Pipelines</w:t>
                  </w:r>
                </w:p>
              </w:tc>
              <w:tc>
                <w:tcPr>
                  <w:tcW w:type="dxa" w:w="1685"/>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AI-driven quality engine</w:t>
                  </w:r>
                </w:p>
              </w:tc>
              <w:tc>
                <w:tcPr>
                  <w:tcW w:type="dxa" w:w="936"/>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8"/>
                      <w:szCs w:val="18"/>
                    </w:rPr>
                    <w:t xml:space="preserve">Wave 1</w:t>
                  </w:r>
                </w:p>
              </w:tc>
            </w:tr>
            <w:tr>
              <w:tc>
                <w:tcPr>
                  <w:tcW w:type="dxa" w:w="1872"/>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App Portfolio (~500)</w:t>
                  </w:r>
                </w:p>
              </w:tc>
              <w:tc>
                <w:tcPr>
                  <w:tcW w:type="dxa" w:w="1685"/>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Assess → rationalise</w:t>
                  </w:r>
                </w:p>
              </w:tc>
              <w:tc>
                <w:tcPr>
                  <w:tcW w:type="dxa" w:w="936"/>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8"/>
                      <w:szCs w:val="18"/>
                    </w:rPr>
                    <w:t xml:space="preserve">Wave 2</w:t>
                  </w:r>
                </w:p>
              </w:tc>
            </w:tr>
            <w:tr>
              <w:tc>
                <w:tcPr>
                  <w:tcW w:type="dxa" w:w="1872"/>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Mainframe Rehost</w:t>
                  </w:r>
                </w:p>
              </w:tc>
              <w:tc>
                <w:tcPr>
                  <w:tcW w:type="dxa" w:w="1685"/>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Lift-and-validate</w:t>
                  </w:r>
                </w:p>
              </w:tc>
              <w:tc>
                <w:tcPr>
                  <w:tcW w:type="dxa" w:w="936"/>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8"/>
                      <w:szCs w:val="18"/>
                    </w:rPr>
                    <w:t xml:space="preserve">Wave 2</w:t>
                  </w:r>
                </w:p>
              </w:tc>
            </w:tr>
            <w:tr>
              <w:tc>
                <w:tcPr>
                  <w:tcW w:type="dxa" w:w="1872"/>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Cloud Optimisation</w:t>
                  </w:r>
                </w:p>
              </w:tc>
              <w:tc>
                <w:tcPr>
                  <w:tcW w:type="dxa" w:w="1685"/>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Cost + performance tuning</w:t>
                  </w:r>
                </w:p>
              </w:tc>
              <w:tc>
                <w:tcPr>
                  <w:tcW w:type="dxa" w:w="936"/>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8"/>
                      <w:szCs w:val="18"/>
                    </w:rPr>
                    <w:t xml:space="preserve">Wave 2</w:t>
                  </w:r>
                </w:p>
              </w:tc>
            </w:tr>
            <w:tr>
              <w:tc>
                <w:tcPr>
                  <w:tcW w:type="dxa" w:w="1872"/>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Mainframe Refactor</w:t>
                  </w:r>
                </w:p>
              </w:tc>
              <w:tc>
                <w:tcPr>
                  <w:tcW w:type="dxa" w:w="1685"/>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Selective modernise</w:t>
                  </w:r>
                </w:p>
              </w:tc>
              <w:tc>
                <w:tcPr>
                  <w:tcW w:type="dxa" w:w="936"/>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8"/>
                      <w:szCs w:val="18"/>
                    </w:rPr>
                    <w:t xml:space="preserve">Wave 3</w:t>
                  </w:r>
                </w:p>
              </w:tc>
            </w:tr>
            <w:tr>
              <w:tc>
                <w:tcPr>
                  <w:tcW w:type="dxa" w:w="1872"/>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Security &amp; Compliance</w:t>
                  </w:r>
                </w:p>
              </w:tc>
              <w:tc>
                <w:tcPr>
                  <w:tcW w:type="dxa" w:w="1685"/>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n-1 standard + auto-patch</w:t>
                  </w:r>
                </w:p>
              </w:tc>
              <w:tc>
                <w:tcPr>
                  <w:tcW w:type="dxa" w:w="936"/>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8"/>
                      <w:szCs w:val="18"/>
                    </w:rPr>
                    <w:t xml:space="preserve">Ongoing</w:t>
                  </w:r>
                </w:p>
              </w:tc>
            </w:tr>
          </w:tbl>
          <w:p/>
        </w:tc>
        <w:tc>
          <w:tcPr>
            <w:tcW w:type="dxa" w:w="374"/>
            <w:tcBorders>
              <w:top w:val="none"/>
              <w:left w:val="none"/>
              <w:bottom w:val="none"/>
              <w:right w:val="none"/>
            </w:tcBorders>
          </w:tcPr>
          <w:p>
            <w:pPr>
              <w:spacing w:after="0" w:before="0"/>
            </w:pPr>
            <w:r>
              <w:rPr>
                <w:rFonts w:ascii="Calibri" w:cs="Calibri" w:eastAsia="Calibri" w:hAnsi="Calibri"/>
                <w:b w:val="false"/>
                <w:bCs w:val="false"/>
                <w:i w:val="false"/>
                <w:iCs w:val="false"/>
                <w:color w:val="161616"/>
                <w:sz w:val="21"/>
                <w:szCs w:val="21"/>
              </w:rPr>
              <w:t xml:space="preserve"/>
            </w:r>
          </w:p>
        </w:tc>
        <w:tc>
          <w:tcPr>
            <w:tcW w:type="dxa" w:w="4493"/>
            <w:tcBorders>
              <w:top w:val="none"/>
              <w:left w:val="none"/>
              <w:bottom w:val="none"/>
              <w:right w:val="none"/>
            </w:tcBorders>
            <w:tcMar>
              <w:left w:type="dxa" w:w="160"/>
            </w:tcMar>
          </w:tcPr>
          <w:p>
            <w:pPr>
              <w:spacing w:after="60" w:before="0"/>
            </w:pPr>
            <w:r>
              <w:rPr>
                <w:rFonts w:ascii="Calibri" w:cs="Calibri" w:eastAsia="Calibri" w:hAnsi="Calibri"/>
                <w:b/>
                <w:bCs/>
                <w:i w:val="false"/>
                <w:iCs w:val="false"/>
                <w:color w:val="001141"/>
                <w:sz w:val="21"/>
                <w:szCs w:val="21"/>
              </w:rPr>
              <w:t xml:space="preserve">Technical Debt Reduction</w:t>
            </w:r>
          </w:p>
          <w:p>
            <w:pPr>
              <w:spacing w:after="60" w:before="0"/>
            </w:pPr>
            <w:r>
              <w:rPr>
                <w:rFonts w:ascii="Calibri" w:cs="Calibri" w:eastAsia="Calibri" w:hAnsi="Calibri"/>
                <w:b w:val="false"/>
                <w:bCs w:val="false"/>
                <w:i/>
                <w:iCs/>
                <w:color w:val="8D8D8D"/>
                <w:sz w:val="18"/>
                <w:szCs w:val="18"/>
              </w:rPr>
              <w:t xml:space="preserve">Debt index (100 = today) — quarterly trajectory:</w:t>
            </w:r>
          </w:p>
          <w:tbl>
            <w:tblPr>
              <w:tblW w:type="dxa" w:w="4493"/>
              <w:tblBorders>
                <w:top w:val="none"/>
                <w:left w:val="none"/>
                <w:bottom w:val="none"/>
                <w:right w:val="none"/>
                <w:insideH w:val="single" w:color="auto" w:sz="4"/>
                <w:insideV w:val="single" w:color="auto" w:sz="4"/>
              </w:tblBorders>
              <w:tblLayout w:type="fixed"/>
            </w:tblPr>
            <w:tblGrid>
              <w:gridCol w:w="100"/>
              <w:gridCol w:w="100"/>
              <w:gridCol w:w="100"/>
              <w:gridCol w:w="100"/>
            </w:tblGrid>
            <w:tr>
              <w:tc>
                <w:tcPr>
                  <w:tcW w:type="dxa" w:w="1900"/>
                  <w:tcBorders>
                    <w:top w:val="none"/>
                    <w:left w:val="none"/>
                    <w:bottom w:val="none"/>
                    <w:right w:val="none"/>
                  </w:tcBorders>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Q1  Baseline</w:t>
                  </w:r>
                </w:p>
              </w:tc>
              <w:tc>
                <w:tcPr>
                  <w:tcW w:type="dxa" w:w="4600"/>
                  <w:tcBorders>
                    <w:top w:val="none"/>
                    <w:left w:val="none"/>
                    <w:bottom w:val="none"/>
                    <w:right w:val="none"/>
                  </w:tcBorders>
                  <w:shd w:fill="DA1E28"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0"/>
                  <w:tcBorders>
                    <w:top w:val="none"/>
                    <w:left w:val="none"/>
                    <w:bottom w:val="none"/>
                    <w:right w:val="none"/>
                  </w:tcBorders>
                  <w:shd w:fill="E0E0E0"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1460"/>
                  <w:tcBorders>
                    <w:top w:val="none"/>
                    <w:left w:val="none"/>
                    <w:bottom w:val="none"/>
                    <w:right w:val="none"/>
                  </w:tcBorders>
                  <w:tcMar>
                    <w:top w:type="dxa" w:w="40"/>
                    <w:left w:type="dxa" w:w="80"/>
                    <w:bottom w:type="dxa" w:w="40"/>
                  </w:tcMar>
                  <w:vAlign w:val="center"/>
                </w:tcPr>
                <w:p>
                  <w:pPr>
                    <w:spacing w:after="0" w:before="0"/>
                    <w:jc w:val="right"/>
                  </w:pPr>
                  <w:r>
                    <w:rPr>
                      <w:rFonts w:ascii="Calibri" w:cs="Calibri" w:eastAsia="Calibri" w:hAnsi="Calibri"/>
                      <w:b/>
                      <w:bCs/>
                      <w:i w:val="false"/>
                      <w:iCs w:val="false"/>
                      <w:color w:val="DA1E28"/>
                      <w:sz w:val="18"/>
                      <w:szCs w:val="18"/>
                    </w:rPr>
                    <w:t xml:space="preserve">100</w:t>
                  </w:r>
                </w:p>
              </w:tc>
            </w:tr>
            <w:tr>
              <w:tc>
                <w:tcPr>
                  <w:tcW w:type="dxa" w:w="1900"/>
                  <w:tcBorders>
                    <w:top w:val="none"/>
                    <w:left w:val="none"/>
                    <w:bottom w:val="none"/>
                    <w:right w:val="none"/>
                  </w:tcBorders>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Q2  Wave 1</w:t>
                  </w:r>
                </w:p>
              </w:tc>
              <w:tc>
                <w:tcPr>
                  <w:tcW w:type="dxa" w:w="3588"/>
                  <w:tcBorders>
                    <w:top w:val="none"/>
                    <w:left w:val="none"/>
                    <w:bottom w:val="none"/>
                    <w:right w:val="none"/>
                  </w:tcBorders>
                  <w:shd w:fill="FF8389"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1012"/>
                  <w:tcBorders>
                    <w:top w:val="none"/>
                    <w:left w:val="none"/>
                    <w:bottom w:val="none"/>
                    <w:right w:val="none"/>
                  </w:tcBorders>
                  <w:shd w:fill="E0E0E0"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1460"/>
                  <w:tcBorders>
                    <w:top w:val="none"/>
                    <w:left w:val="none"/>
                    <w:bottom w:val="none"/>
                    <w:right w:val="none"/>
                  </w:tcBorders>
                  <w:tcMar>
                    <w:top w:type="dxa" w:w="40"/>
                    <w:left w:type="dxa" w:w="80"/>
                    <w:bottom w:type="dxa" w:w="40"/>
                  </w:tcMar>
                  <w:vAlign w:val="center"/>
                </w:tcPr>
                <w:p>
                  <w:pPr>
                    <w:spacing w:after="0" w:before="0"/>
                    <w:jc w:val="right"/>
                  </w:pPr>
                  <w:r>
                    <w:rPr>
                      <w:rFonts w:ascii="Calibri" w:cs="Calibri" w:eastAsia="Calibri" w:hAnsi="Calibri"/>
                      <w:b/>
                      <w:bCs/>
                      <w:i w:val="false"/>
                      <w:iCs w:val="false"/>
                      <w:color w:val="FF8389"/>
                      <w:sz w:val="18"/>
                      <w:szCs w:val="18"/>
                    </w:rPr>
                    <w:t xml:space="preserve">78</w:t>
                  </w:r>
                </w:p>
              </w:tc>
            </w:tr>
            <w:tr>
              <w:tc>
                <w:tcPr>
                  <w:tcW w:type="dxa" w:w="1900"/>
                  <w:tcBorders>
                    <w:top w:val="none"/>
                    <w:left w:val="none"/>
                    <w:bottom w:val="none"/>
                    <w:right w:val="none"/>
                  </w:tcBorders>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Q3  Scale</w:t>
                  </w:r>
                </w:p>
              </w:tc>
              <w:tc>
                <w:tcPr>
                  <w:tcW w:type="dxa" w:w="2852"/>
                  <w:tcBorders>
                    <w:top w:val="none"/>
                    <w:left w:val="none"/>
                    <w:bottom w:val="none"/>
                    <w:right w:val="none"/>
                  </w:tcBorders>
                  <w:shd w:fill="0072C3"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1748"/>
                  <w:tcBorders>
                    <w:top w:val="none"/>
                    <w:left w:val="none"/>
                    <w:bottom w:val="none"/>
                    <w:right w:val="none"/>
                  </w:tcBorders>
                  <w:shd w:fill="E0E0E0"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1460"/>
                  <w:tcBorders>
                    <w:top w:val="none"/>
                    <w:left w:val="none"/>
                    <w:bottom w:val="none"/>
                    <w:right w:val="none"/>
                  </w:tcBorders>
                  <w:tcMar>
                    <w:top w:type="dxa" w:w="40"/>
                    <w:left w:type="dxa" w:w="80"/>
                    <w:bottom w:type="dxa" w:w="40"/>
                  </w:tcMar>
                  <w:vAlign w:val="center"/>
                </w:tcPr>
                <w:p>
                  <w:pPr>
                    <w:spacing w:after="0" w:before="0"/>
                    <w:jc w:val="right"/>
                  </w:pPr>
                  <w:r>
                    <w:rPr>
                      <w:rFonts w:ascii="Calibri" w:cs="Calibri" w:eastAsia="Calibri" w:hAnsi="Calibri"/>
                      <w:b/>
                      <w:bCs/>
                      <w:i w:val="false"/>
                      <w:iCs w:val="false"/>
                      <w:color w:val="0072C3"/>
                      <w:sz w:val="18"/>
                      <w:szCs w:val="18"/>
                    </w:rPr>
                    <w:t xml:space="preserve">62</w:t>
                  </w:r>
                </w:p>
              </w:tc>
            </w:tr>
            <w:tr>
              <w:tc>
                <w:tcPr>
                  <w:tcW w:type="dxa" w:w="1900"/>
                  <w:tcBorders>
                    <w:top w:val="none"/>
                    <w:left w:val="none"/>
                    <w:bottom w:val="none"/>
                    <w:right w:val="none"/>
                  </w:tcBorders>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Q4  Optimise</w:t>
                  </w:r>
                </w:p>
              </w:tc>
              <w:tc>
                <w:tcPr>
                  <w:tcW w:type="dxa" w:w="2208"/>
                  <w:tcBorders>
                    <w:top w:val="none"/>
                    <w:left w:val="none"/>
                    <w:bottom w:val="none"/>
                    <w:right w:val="none"/>
                  </w:tcBorders>
                  <w:shd w:fill="0F62FE"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2392"/>
                  <w:tcBorders>
                    <w:top w:val="none"/>
                    <w:left w:val="none"/>
                    <w:bottom w:val="none"/>
                    <w:right w:val="none"/>
                  </w:tcBorders>
                  <w:shd w:fill="E0E0E0"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1460"/>
                  <w:tcBorders>
                    <w:top w:val="none"/>
                    <w:left w:val="none"/>
                    <w:bottom w:val="none"/>
                    <w:right w:val="none"/>
                  </w:tcBorders>
                  <w:tcMar>
                    <w:top w:type="dxa" w:w="40"/>
                    <w:left w:type="dxa" w:w="80"/>
                    <w:bottom w:type="dxa" w:w="40"/>
                  </w:tcMar>
                  <w:vAlign w:val="center"/>
                </w:tcPr>
                <w:p>
                  <w:pPr>
                    <w:spacing w:after="0" w:before="0"/>
                    <w:jc w:val="right"/>
                  </w:pPr>
                  <w:r>
                    <w:rPr>
                      <w:rFonts w:ascii="Calibri" w:cs="Calibri" w:eastAsia="Calibri" w:hAnsi="Calibri"/>
                      <w:b/>
                      <w:bCs/>
                      <w:i w:val="false"/>
                      <w:iCs w:val="false"/>
                      <w:color w:val="0F62FE"/>
                      <w:sz w:val="18"/>
                      <w:szCs w:val="18"/>
                    </w:rPr>
                    <w:t xml:space="preserve">48</w:t>
                  </w:r>
                </w:p>
              </w:tc>
            </w:tr>
            <w:tr>
              <w:tc>
                <w:tcPr>
                  <w:tcW w:type="dxa" w:w="1900"/>
                  <w:tcBorders>
                    <w:top w:val="none"/>
                    <w:left w:val="none"/>
                    <w:bottom w:val="none"/>
                    <w:right w:val="none"/>
                  </w:tcBorders>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Year 2 Target</w:t>
                  </w:r>
                </w:p>
              </w:tc>
              <w:tc>
                <w:tcPr>
                  <w:tcW w:type="dxa" w:w="1288"/>
                  <w:tcBorders>
                    <w:top w:val="none"/>
                    <w:left w:val="none"/>
                    <w:bottom w:val="none"/>
                    <w:right w:val="none"/>
                  </w:tcBorders>
                  <w:shd w:fill="001141"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3312"/>
                  <w:tcBorders>
                    <w:top w:val="none"/>
                    <w:left w:val="none"/>
                    <w:bottom w:val="none"/>
                    <w:right w:val="none"/>
                  </w:tcBorders>
                  <w:shd w:fill="E0E0E0" w:val="solid"/>
                </w:tcPr>
                <w:p>
                  <w:pPr>
                    <w:spacing w:after="0" w:before="0"/>
                  </w:pPr>
                  <w:r>
                    <w:rPr>
                      <w:rFonts w:ascii="Calibri" w:cs="Calibri" w:eastAsia="Calibri" w:hAnsi="Calibri"/>
                      <w:b w:val="false"/>
                      <w:bCs w:val="false"/>
                      <w:i w:val="false"/>
                      <w:iCs w:val="false"/>
                      <w:color w:val="161616"/>
                      <w:sz w:val="21"/>
                      <w:szCs w:val="21"/>
                    </w:rPr>
                    <w:t xml:space="preserve"/>
                  </w:r>
                </w:p>
              </w:tc>
              <w:tc>
                <w:tcPr>
                  <w:tcW w:type="dxa" w:w="1460"/>
                  <w:tcBorders>
                    <w:top w:val="none"/>
                    <w:left w:val="none"/>
                    <w:bottom w:val="none"/>
                    <w:right w:val="none"/>
                  </w:tcBorders>
                  <w:tcMar>
                    <w:top w:type="dxa" w:w="40"/>
                    <w:left w:type="dxa" w:w="80"/>
                    <w:bottom w:type="dxa" w:w="40"/>
                  </w:tcMar>
                  <w:vAlign w:val="center"/>
                </w:tcPr>
                <w:p>
                  <w:pPr>
                    <w:spacing w:after="0" w:before="0"/>
                    <w:jc w:val="right"/>
                  </w:pPr>
                  <w:r>
                    <w:rPr>
                      <w:rFonts w:ascii="Calibri" w:cs="Calibri" w:eastAsia="Calibri" w:hAnsi="Calibri"/>
                      <w:b/>
                      <w:bCs/>
                      <w:i w:val="false"/>
                      <w:iCs w:val="false"/>
                      <w:color w:val="001141"/>
                      <w:sz w:val="18"/>
                      <w:szCs w:val="18"/>
                    </w:rPr>
                    <w:t xml:space="preserve">&lt;30</w:t>
                  </w:r>
                </w:p>
              </w:tc>
            </w:tr>
          </w:tbl>
          <w:p>
            <w:pPr>
              <w:spacing w:after="100" w:before="0"/>
            </w:pPr>
            <w:r>
              <w:rPr>
                <w:rFonts w:ascii="Calibri" w:cs="Calibri" w:eastAsia="Calibri" w:hAnsi="Calibri"/>
                <w:b w:val="false"/>
                <w:bCs w:val="false"/>
                <w:i w:val="false"/>
                <w:iCs w:val="false"/>
                <w:color w:val="161616"/>
                <w:sz w:val="21"/>
                <w:szCs w:val="21"/>
              </w:rPr>
              <w:t xml:space="preserve"/>
            </w:r>
          </w:p>
          <w:p>
            <w:pPr>
              <w:spacing w:after="60" w:before="80"/>
            </w:pPr>
            <w:r>
              <w:rPr>
                <w:rFonts w:ascii="Calibri" w:cs="Calibri" w:eastAsia="Calibri" w:hAnsi="Calibri"/>
                <w:b/>
                <w:bCs/>
                <w:i w:val="false"/>
                <w:iCs w:val="false"/>
                <w:color w:val="001141"/>
                <w:sz w:val="21"/>
                <w:szCs w:val="21"/>
              </w:rPr>
              <w:t xml:space="preserve">Integration Architecture Shift</w:t>
            </w:r>
          </w:p>
          <w:tbl>
            <w:tblPr>
              <w:tblW w:type="dxa" w:w="4493"/>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dxa" w:w="2246"/>
                  <w:tcBorders>
                    <w:top w:val="single" w:color="0F62FE" w:sz="6"/>
                    <w:left w:val="single" w:color="E0E0E0" w:sz="2"/>
                    <w:bottom w:val="single" w:color="0F62FE" w:sz="3"/>
                    <w:right w:val="single" w:color="E0E0E0" w:sz="2"/>
                  </w:tcBorders>
                  <w:shd w:fill="D0E2FF" w:val="solid"/>
                  <w:tcMar>
                    <w:top w:type="dxa" w:w="40"/>
                    <w:left w:type="dxa" w:w="120"/>
                    <w:bottom w:type="dxa" w:w="40"/>
                    <w:right w:type="dxa" w:w="120"/>
                  </w:tcMar>
                </w:tcPr>
                <w:p>
                  <w:pPr>
                    <w:spacing w:after="60" w:before="60"/>
                  </w:pPr>
                  <w:r>
                    <w:rPr>
                      <w:rFonts w:ascii="Calibri" w:cs="Calibri" w:eastAsia="Calibri" w:hAnsi="Calibri"/>
                      <w:b/>
                      <w:bCs/>
                      <w:i w:val="false"/>
                      <w:iCs w:val="false"/>
                      <w:color w:val="001141"/>
                      <w:sz w:val="19"/>
                      <w:szCs w:val="19"/>
                    </w:rPr>
                    <w:t xml:space="preserve">Current State</w:t>
                  </w:r>
                </w:p>
              </w:tc>
              <w:tc>
                <w:tcPr>
                  <w:tcW w:type="dxa" w:w="2246"/>
                  <w:tcBorders>
                    <w:top w:val="single" w:color="0F62FE" w:sz="6"/>
                    <w:left w:val="single" w:color="E0E0E0" w:sz="2"/>
                    <w:bottom w:val="single" w:color="0F62FE" w:sz="3"/>
                    <w:right w:val="single" w:color="E0E0E0" w:sz="2"/>
                  </w:tcBorders>
                  <w:shd w:fill="D0E2FF" w:val="solid"/>
                  <w:tcMar>
                    <w:top w:type="dxa" w:w="40"/>
                    <w:left w:type="dxa" w:w="120"/>
                    <w:bottom w:type="dxa" w:w="40"/>
                    <w:right w:type="dxa" w:w="120"/>
                  </w:tcMar>
                </w:tcPr>
                <w:p>
                  <w:pPr>
                    <w:spacing w:after="60" w:before="60"/>
                  </w:pPr>
                  <w:r>
                    <w:rPr>
                      <w:rFonts w:ascii="Calibri" w:cs="Calibri" w:eastAsia="Calibri" w:hAnsi="Calibri"/>
                      <w:b/>
                      <w:bCs/>
                      <w:i w:val="false"/>
                      <w:iCs w:val="false"/>
                      <w:color w:val="001141"/>
                      <w:sz w:val="19"/>
                      <w:szCs w:val="19"/>
                    </w:rPr>
                    <w:t xml:space="preserve">IBM Target State</w:t>
                  </w:r>
                </w:p>
              </w:tc>
            </w:tr>
            <w:tr>
              <w:tc>
                <w:tcPr>
                  <w:tcW w:type="dxa" w:w="2246"/>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8"/>
                      <w:szCs w:val="18"/>
                    </w:rPr>
                    <w:t xml:space="preserve">Point-to-point coupling</w:t>
                  </w:r>
                </w:p>
              </w:tc>
              <w:tc>
                <w:tcPr>
                  <w:tcW w:type="dxa" w:w="2246"/>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8"/>
                      <w:szCs w:val="18"/>
                    </w:rPr>
                    <w:t xml:space="preserve">API-first Integration Hub</w:t>
                  </w:r>
                </w:p>
              </w:tc>
            </w:tr>
            <w:tr>
              <w:tc>
                <w:tcPr>
                  <w:tcW w:type="dxa" w:w="2246"/>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8"/>
                      <w:szCs w:val="18"/>
                    </w:rPr>
                    <w:t xml:space="preserve">Batch-heavy processing</w:t>
                  </w:r>
                </w:p>
              </w:tc>
              <w:tc>
                <w:tcPr>
                  <w:tcW w:type="dxa" w:w="2246"/>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8"/>
                      <w:szCs w:val="18"/>
                    </w:rPr>
                    <w:t xml:space="preserve">Event-driven streaming</w:t>
                  </w:r>
                </w:p>
              </w:tc>
            </w:tr>
            <w:tr>
              <w:tc>
                <w:tcPr>
                  <w:tcW w:type="dxa" w:w="2246"/>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8"/>
                      <w:szCs w:val="18"/>
                    </w:rPr>
                    <w:t xml:space="preserve">Manual data pipelines</w:t>
                  </w:r>
                </w:p>
              </w:tc>
              <w:tc>
                <w:tcPr>
                  <w:tcW w:type="dxa" w:w="2246"/>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8"/>
                      <w:szCs w:val="18"/>
                    </w:rPr>
                    <w:t xml:space="preserve">AI-quality DataOps</w:t>
                  </w:r>
                </w:p>
              </w:tc>
            </w:tr>
            <w:tr>
              <w:tc>
                <w:tcPr>
                  <w:tcW w:type="dxa" w:w="2246"/>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8"/>
                      <w:szCs w:val="18"/>
                    </w:rPr>
                    <w:t xml:space="preserve">Siloed observability</w:t>
                  </w:r>
                </w:p>
              </w:tc>
              <w:tc>
                <w:tcPr>
                  <w:tcW w:type="dxa" w:w="2246"/>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8"/>
                      <w:szCs w:val="18"/>
                    </w:rPr>
                    <w:t xml:space="preserve">Unified estate monitoring</w:t>
                  </w:r>
                </w:p>
              </w:tc>
            </w:tr>
            <w:tr>
              <w:tc>
                <w:tcPr>
                  <w:tcW w:type="dxa" w:w="2246"/>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8"/>
                      <w:szCs w:val="18"/>
                    </w:rPr>
                    <w:t xml:space="preserve">Manual patching cycles</w:t>
                  </w:r>
                </w:p>
              </w:tc>
              <w:tc>
                <w:tcPr>
                  <w:tcW w:type="dxa" w:w="2246"/>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8"/>
                      <w:szCs w:val="18"/>
                    </w:rPr>
                    <w:t xml:space="preserve">Auto-patch + n-1 standard</w:t>
                  </w:r>
                </w:p>
              </w:tc>
            </w:tr>
          </w:tbl>
          <w:p/>
        </w:tc>
      </w:tr>
    </w:tbl>
    <w:p>
      <w:pPr>
        <w:spacing w:after="0" w:before="0"/>
      </w:pPr>
      <w:r>
        <w:br w:type="page"/>
      </w:r>
    </w:p>
    <w:p>
      <w:pPr>
        <w:pBdr>
          <w:top w:val="single" w:color="0F62FE" w:sz="12" w:space="6"/>
        </w:pBdr>
        <w:spacing w:after="20" w:before="240"/>
      </w:pPr>
    </w:p>
    <w:p>
      <w:pPr>
        <w:spacing w:after="20" w:before="20"/>
      </w:pPr>
      <w:r>
        <w:rPr>
          <w:rFonts w:ascii="Calibri" w:cs="Calibri" w:eastAsia="Calibri" w:hAnsi="Calibri"/>
          <w:b/>
          <w:bCs/>
          <w:i w:val="false"/>
          <w:iCs w:val="false"/>
          <w:color w:val="0F62FE"/>
          <w:sz w:val="16"/>
          <w:szCs w:val="16"/>
        </w:rPr>
        <w:t xml:space="preserve">8.0  </w:t>
      </w:r>
      <w:r>
        <w:rPr>
          <w:rFonts w:ascii="Calibri" w:cs="Calibri" w:eastAsia="Calibri" w:hAnsi="Calibri"/>
          <w:b/>
          <w:bCs/>
          <w:i w:val="false"/>
          <w:iCs w:val="false"/>
          <w:color w:val="001141"/>
          <w:sz w:val="26"/>
          <w:szCs w:val="26"/>
        </w:rPr>
        <w:t xml:space="preserve">PHASED ROADMAP &amp; VALUE MILESTONES</w:t>
      </w:r>
      <w:r>
        <w:rPr>
          <w:rFonts w:ascii="Calibri" w:cs="Calibri" w:eastAsia="Calibri" w:hAnsi="Calibri"/>
          <w:b w:val="false"/>
          <w:bCs w:val="false"/>
          <w:i/>
          <w:iCs/>
          <w:color w:val="8D8D8D"/>
          <w:sz w:val="19"/>
          <w:szCs w:val="19"/>
        </w:rPr>
        <w:t xml:space="preserve">   Risk-controlled · Compounding value · Transparent governance</w:t>
      </w:r>
    </w:p>
    <w:p>
      <w:pPr>
        <w:spacing w:after="80" w:before="0"/>
      </w:pPr>
      <w:r>
        <w:rPr>
          <w:rFonts w:ascii="Calibri" w:cs="Calibri" w:eastAsia="Calibri" w:hAnsi="Calibri"/>
          <w:b w:val="false"/>
          <w:bCs w:val="false"/>
          <w:i w:val="false"/>
          <w:iCs w:val="false"/>
          <w:color w:val="161616"/>
          <w:sz w:val="21"/>
          <w:szCs w:val="21"/>
        </w:rPr>
        <w:t xml:space="preserve"/>
      </w:r>
    </w:p>
    <w:p>
      <w:pPr>
        <w:spacing w:after="40" w:before="80"/>
        <w:ind w:left="720" w:right="720"/>
        <w:jc w:val="center"/>
      </w:pPr>
      <w:r>
        <w:rPr>
          <w:rFonts w:ascii="Calibri" w:cs="Calibri" w:eastAsia="Calibri" w:hAnsi="Calibri"/>
          <w:b w:val="false"/>
          <w:bCs w:val="false"/>
          <w:i/>
          <w:iCs/>
          <w:color w:val="001141"/>
          <w:sz w:val="23"/>
          <w:szCs w:val="23"/>
        </w:rPr>
        <w:t xml:space="preserve">“Every day a claim processes faster, a prior auth returns sooner, or an outage is resolved before it is noticed — that is a day Horizon’s members and providers experience the difference. IBM’s roadmap is structured so those days start in Week 1, not Year 2.”</w:t>
      </w:r>
    </w:p>
    <w:p>
      <w:pPr>
        <w:spacing w:after="100" w:before="0"/>
        <w:jc w:val="center"/>
      </w:pPr>
      <w:r>
        <w:rPr>
          <w:rFonts w:ascii="Calibri" w:cs="Calibri" w:eastAsia="Calibri" w:hAnsi="Calibri"/>
          <w:b/>
          <w:bCs/>
          <w:i w:val="false"/>
          <w:iCs w:val="false"/>
          <w:color w:val="0F62FE"/>
          <w:sz w:val="18"/>
          <w:szCs w:val="18"/>
        </w:rPr>
        <w:t xml:space="preserve">— IBM Delivery Governance</w:t>
      </w:r>
    </w:p>
    <w:p>
      <w:pPr>
        <w:pBdr>
          <w:bottom w:val="single" w:color="A6C8FF" w:sz="4" w:space="0"/>
        </w:pBdr>
        <w:spacing w:after="100" w:before="0"/>
        <w:ind w:left="2160" w:right="2160"/>
      </w:pPr>
    </w:p>
    <w:p>
      <w:pPr>
        <w:spacing w:after="60" w:before="0"/>
      </w:pPr>
      <w:r>
        <w:rPr>
          <w:rFonts w:ascii="Calibri" w:cs="Calibri" w:eastAsia="Calibri" w:hAnsi="Calibri"/>
          <w:b/>
          <w:bCs/>
          <w:i w:val="false"/>
          <w:iCs w:val="false"/>
          <w:color w:val="001141"/>
          <w:sz w:val="21"/>
          <w:szCs w:val="21"/>
        </w:rPr>
        <w:t xml:space="preserve">Phase-by-Phase Delivery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tcW w:type="dxa" w:w="1404"/>
            <w:tcBorders>
              <w:top w:val="single" w:color="0F62FE" w:sz="6"/>
              <w:left w:val="single" w:color="E0E0E0" w:sz="2"/>
              <w:bottom w:val="single" w:color="0F62FE" w:sz="3"/>
              <w:right w:val="single" w:color="E0E0E0" w:sz="2"/>
            </w:tcBorders>
            <w:shd w:fill="D0E2FF" w:val="solid"/>
            <w:tcMar>
              <w:top w:type="dxa" w:w="40"/>
              <w:left w:type="dxa" w:w="120"/>
              <w:bottom w:type="dxa" w:w="40"/>
              <w:right w:type="dxa" w:w="120"/>
            </w:tcMar>
          </w:tcPr>
          <w:p>
            <w:pPr>
              <w:spacing w:after="60" w:before="60"/>
            </w:pPr>
            <w:r>
              <w:rPr>
                <w:rFonts w:ascii="Calibri" w:cs="Calibri" w:eastAsia="Calibri" w:hAnsi="Calibri"/>
                <w:b/>
                <w:bCs/>
                <w:i w:val="false"/>
                <w:iCs w:val="false"/>
                <w:color w:val="001141"/>
                <w:sz w:val="19"/>
                <w:szCs w:val="19"/>
              </w:rPr>
              <w:t xml:space="preserve">Phase</w:t>
            </w:r>
          </w:p>
        </w:tc>
        <w:tc>
          <w:tcPr>
            <w:tcW w:type="dxa" w:w="1029"/>
            <w:tcBorders>
              <w:top w:val="single" w:color="0F62FE" w:sz="6"/>
              <w:left w:val="single" w:color="E0E0E0" w:sz="2"/>
              <w:bottom w:val="single" w:color="0F62FE" w:sz="3"/>
              <w:right w:val="single" w:color="E0E0E0" w:sz="2"/>
            </w:tcBorders>
            <w:shd w:fill="D0E2FF" w:val="solid"/>
            <w:tcMar>
              <w:top w:type="dxa" w:w="40"/>
              <w:left w:type="dxa" w:w="120"/>
              <w:bottom w:type="dxa" w:w="40"/>
              <w:right w:type="dxa" w:w="120"/>
            </w:tcMar>
          </w:tcPr>
          <w:p>
            <w:pPr>
              <w:spacing w:after="60" w:before="60"/>
            </w:pPr>
            <w:r>
              <w:rPr>
                <w:rFonts w:ascii="Calibri" w:cs="Calibri" w:eastAsia="Calibri" w:hAnsi="Calibri"/>
                <w:b/>
                <w:bCs/>
                <w:i w:val="false"/>
                <w:iCs w:val="false"/>
                <w:color w:val="001141"/>
                <w:sz w:val="19"/>
                <w:szCs w:val="19"/>
              </w:rPr>
              <w:t xml:space="preserve">Timeframe</w:t>
            </w:r>
          </w:p>
        </w:tc>
        <w:tc>
          <w:tcPr>
            <w:tcW w:type="dxa" w:w="4118"/>
            <w:tcBorders>
              <w:top w:val="single" w:color="0F62FE" w:sz="6"/>
              <w:left w:val="single" w:color="E0E0E0" w:sz="2"/>
              <w:bottom w:val="single" w:color="0F62FE" w:sz="3"/>
              <w:right w:val="single" w:color="E0E0E0" w:sz="2"/>
            </w:tcBorders>
            <w:shd w:fill="D0E2FF" w:val="solid"/>
            <w:tcMar>
              <w:top w:type="dxa" w:w="40"/>
              <w:left w:type="dxa" w:w="120"/>
              <w:bottom w:type="dxa" w:w="40"/>
              <w:right w:type="dxa" w:w="120"/>
            </w:tcMar>
          </w:tcPr>
          <w:p>
            <w:pPr>
              <w:spacing w:after="60" w:before="60"/>
            </w:pPr>
            <w:r>
              <w:rPr>
                <w:rFonts w:ascii="Calibri" w:cs="Calibri" w:eastAsia="Calibri" w:hAnsi="Calibri"/>
                <w:b/>
                <w:bCs/>
                <w:i w:val="false"/>
                <w:iCs w:val="false"/>
                <w:color w:val="001141"/>
                <w:sz w:val="19"/>
                <w:szCs w:val="19"/>
              </w:rPr>
              <w:t xml:space="preserve">Focus &amp; Key Deliverables</w:t>
            </w:r>
          </w:p>
        </w:tc>
        <w:tc>
          <w:tcPr>
            <w:tcW w:type="dxa" w:w="2808"/>
            <w:tcBorders>
              <w:top w:val="single" w:color="0F62FE" w:sz="6"/>
              <w:left w:val="single" w:color="E0E0E0" w:sz="2"/>
              <w:bottom w:val="single" w:color="0F62FE" w:sz="3"/>
              <w:right w:val="single" w:color="E0E0E0" w:sz="2"/>
            </w:tcBorders>
            <w:shd w:fill="D0E2FF" w:val="solid"/>
            <w:tcMar>
              <w:top w:type="dxa" w:w="40"/>
              <w:left w:type="dxa" w:w="120"/>
              <w:bottom w:type="dxa" w:w="40"/>
              <w:right w:type="dxa" w:w="120"/>
            </w:tcMar>
          </w:tcPr>
          <w:p>
            <w:pPr>
              <w:spacing w:after="60" w:before="60"/>
            </w:pPr>
            <w:r>
              <w:rPr>
                <w:rFonts w:ascii="Calibri" w:cs="Calibri" w:eastAsia="Calibri" w:hAnsi="Calibri"/>
                <w:b/>
                <w:bCs/>
                <w:i w:val="false"/>
                <w:iCs w:val="false"/>
                <w:color w:val="001141"/>
                <w:sz w:val="19"/>
                <w:szCs w:val="19"/>
              </w:rPr>
              <w:t xml:space="preserve">Value Signal</w:t>
            </w:r>
          </w:p>
        </w:tc>
      </w:tr>
      <w:tr>
        <w:tc>
          <w:tcPr>
            <w:tcW w:type="dxa" w:w="1404"/>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001141"/>
                <w:sz w:val="18"/>
                <w:szCs w:val="18"/>
              </w:rPr>
              <w:t xml:space="preserve">Phase 0
Foundation</w:t>
            </w:r>
          </w:p>
        </w:tc>
        <w:tc>
          <w:tcPr>
            <w:tcW w:type="dxa" w:w="1029"/>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0–8 weeks</w:t>
            </w:r>
          </w:p>
        </w:tc>
        <w:tc>
          <w:tcPr>
            <w:tcW w:type="dxa" w:w="4118"/>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161616"/>
                <w:sz w:val="18"/>
                <w:szCs w:val="18"/>
              </w:rPr>
              <w:t xml:space="preserve">Telemetry onboarding  ·  Baseline measurement  ·  Transition plan  ·  AI environment setup  ·  Innovation council launch</w:t>
            </w:r>
          </w:p>
        </w:tc>
        <w:tc>
          <w:tcPr>
            <w:tcW w:type="dxa" w:w="2808"/>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8"/>
                <w:szCs w:val="18"/>
              </w:rPr>
              <w:t xml:space="preserve">Live dashboards; baselines locked; zero BAU disruption</w:t>
            </w:r>
          </w:p>
        </w:tc>
      </w:tr>
      <w:tr>
        <w:tc>
          <w:tcPr>
            <w:tcW w:type="dxa" w:w="1404"/>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001141"/>
                <w:sz w:val="18"/>
                <w:szCs w:val="18"/>
              </w:rPr>
              <w:t xml:space="preserve">Phase 1
Ignite</w:t>
            </w:r>
          </w:p>
        </w:tc>
        <w:tc>
          <w:tcPr>
            <w:tcW w:type="dxa" w:w="1029"/>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Month 1–3</w:t>
            </w:r>
          </w:p>
        </w:tc>
        <w:tc>
          <w:tcPr>
            <w:tcW w:type="dxa" w:w="4118"/>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161616"/>
                <w:sz w:val="18"/>
                <w:szCs w:val="18"/>
              </w:rPr>
              <w:t xml:space="preserve">AIOps live  ·  P3/P4 self-heal pilots  ·  GenAI QE framework  ·  AI-assisted dev sprints start  ·  Quick-win automations</w:t>
            </w:r>
          </w:p>
        </w:tc>
        <w:tc>
          <w:tcPr>
            <w:tcW w:type="dxa" w:w="2808"/>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8"/>
                <w:szCs w:val="18"/>
              </w:rPr>
              <w:t xml:space="preserve">MTTR −20%  ·  First automation ROI  ·  QE coverage 45%</w:t>
            </w:r>
          </w:p>
        </w:tc>
      </w:tr>
      <w:tr>
        <w:tc>
          <w:tcPr>
            <w:tcW w:type="dxa" w:w="1404"/>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001141"/>
                <w:sz w:val="18"/>
                <w:szCs w:val="18"/>
              </w:rPr>
              <w:t xml:space="preserve">Phase 2
Scale</w:t>
            </w:r>
          </w:p>
        </w:tc>
        <w:tc>
          <w:tcPr>
            <w:tcW w:type="dxa" w:w="1029"/>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Month 3–6</w:t>
            </w:r>
          </w:p>
        </w:tc>
        <w:tc>
          <w:tcPr>
            <w:tcW w:type="dxa" w:w="4118"/>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161616"/>
                <w:sz w:val="18"/>
                <w:szCs w:val="18"/>
              </w:rPr>
              <w:t xml:space="preserve">Agentic triage at scale  ·  Integration Hub Wave 1  ·  QE 60%  ·  DataOps monitoring  ·  AI dev across all domain pods</w:t>
            </w:r>
          </w:p>
        </w:tc>
        <w:tc>
          <w:tcPr>
            <w:tcW w:type="dxa" w:w="2808"/>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8"/>
                <w:szCs w:val="18"/>
              </w:rPr>
              <w:t xml:space="preserve">Auto-resolve &gt;50%  ·  Defect escape −40%  ·  $3–5M cumulative</w:t>
            </w:r>
          </w:p>
        </w:tc>
      </w:tr>
      <w:tr>
        <w:tc>
          <w:tcPr>
            <w:tcW w:type="dxa" w:w="1404"/>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001141"/>
                <w:sz w:val="18"/>
                <w:szCs w:val="18"/>
              </w:rPr>
              <w:t xml:space="preserve">Phase 3
Optimise</w:t>
            </w:r>
          </w:p>
        </w:tc>
        <w:tc>
          <w:tcPr>
            <w:tcW w:type="dxa" w:w="1029"/>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Month 6–12</w:t>
            </w:r>
          </w:p>
        </w:tc>
        <w:tc>
          <w:tcPr>
            <w:tcW w:type="dxa" w:w="4118"/>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161616"/>
                <w:sz w:val="18"/>
                <w:szCs w:val="18"/>
              </w:rPr>
              <w:t xml:space="preserve">Autonomous ops for common patterns  ·  QE 80%+  ·  Continuous modernisation sprints  ·  Full outcome governance live</w:t>
            </w:r>
          </w:p>
        </w:tc>
        <w:tc>
          <w:tcPr>
            <w:tcW w:type="dxa" w:w="2808"/>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8"/>
                <w:szCs w:val="18"/>
              </w:rPr>
              <w:t xml:space="preserve">Cost takeout $6–10M  ·  MTTR &lt;1.8 hrs  ·  Availability 99.9%+</w:t>
            </w:r>
          </w:p>
        </w:tc>
      </w:tr>
      <w:tr>
        <w:tc>
          <w:tcPr>
            <w:tcW w:type="dxa" w:w="1404"/>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001141"/>
                <w:sz w:val="18"/>
                <w:szCs w:val="18"/>
              </w:rPr>
              <w:t xml:space="preserve">Phase 4
Transform</w:t>
            </w:r>
          </w:p>
        </w:tc>
        <w:tc>
          <w:tcPr>
            <w:tcW w:type="dxa" w:w="1029"/>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Year 1–2</w:t>
            </w:r>
          </w:p>
        </w:tc>
        <w:tc>
          <w:tcPr>
            <w:tcW w:type="dxa" w:w="4118"/>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161616"/>
                <w:sz w:val="18"/>
                <w:szCs w:val="18"/>
              </w:rPr>
              <w:t xml:space="preserve">Full autonomy across estate  ·  Mainframe rehost/refactor  ·  Enterprise observability  ·  Co-invest pipeline</w:t>
            </w:r>
          </w:p>
        </w:tc>
        <w:tc>
          <w:tcPr>
            <w:tcW w:type="dxa" w:w="2808"/>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8"/>
                <w:szCs w:val="18"/>
              </w:rPr>
              <w:t xml:space="preserve">Structural cost takeout 40–50%  ·  Total value $12–18M+</w:t>
            </w:r>
          </w:p>
        </w:tc>
      </w:tr>
    </w:tbl>
    <w:p>
      <w:pPr>
        <w:spacing w:after="120" w:before="0"/>
      </w:pPr>
      <w:r>
        <w:rPr>
          <w:rFonts w:ascii="Calibri" w:cs="Calibri" w:eastAsia="Calibri" w:hAnsi="Calibri"/>
          <w:b w:val="false"/>
          <w:bCs w:val="false"/>
          <w:i w:val="false"/>
          <w:iCs w:val="false"/>
          <w:color w:val="161616"/>
          <w:sz w:val="21"/>
          <w:szCs w:val="21"/>
        </w:rPr>
        <w:t xml:space="preserve"/>
      </w:r>
    </w:p>
    <w:p>
      <w:pPr>
        <w:spacing w:after="60" w:before="0"/>
      </w:pPr>
      <w:r>
        <w:rPr>
          <w:rFonts w:ascii="Calibri" w:cs="Calibri" w:eastAsia="Calibri" w:hAnsi="Calibri"/>
          <w:b/>
          <w:bCs/>
          <w:i w:val="false"/>
          <w:iCs w:val="false"/>
          <w:color w:val="001141"/>
          <w:sz w:val="21"/>
          <w:szCs w:val="21"/>
        </w:rPr>
        <w:t xml:space="preserve">KPI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tcW w:type="dxa" w:w="1872"/>
            <w:tcBorders>
              <w:top w:val="single" w:color="0F62FE" w:sz="6"/>
              <w:left w:val="single" w:color="E0E0E0" w:sz="2"/>
              <w:bottom w:val="single" w:color="0F62FE" w:sz="3"/>
              <w:right w:val="single" w:color="E0E0E0" w:sz="2"/>
            </w:tcBorders>
            <w:shd w:fill="D0E2FF" w:val="solid"/>
            <w:tcMar>
              <w:top w:type="dxa" w:w="40"/>
              <w:left w:type="dxa" w:w="120"/>
              <w:bottom w:type="dxa" w:w="40"/>
              <w:right w:type="dxa" w:w="120"/>
            </w:tcMar>
          </w:tcPr>
          <w:p>
            <w:pPr>
              <w:spacing w:after="60" w:before="60"/>
            </w:pPr>
            <w:r>
              <w:rPr>
                <w:rFonts w:ascii="Calibri" w:cs="Calibri" w:eastAsia="Calibri" w:hAnsi="Calibri"/>
                <w:b/>
                <w:bCs/>
                <w:i w:val="false"/>
                <w:iCs w:val="false"/>
                <w:color w:val="001141"/>
                <w:sz w:val="19"/>
                <w:szCs w:val="19"/>
              </w:rPr>
              <w:t xml:space="preserve">Value Area</w:t>
            </w:r>
          </w:p>
        </w:tc>
        <w:tc>
          <w:tcPr>
            <w:tcW w:type="dxa" w:w="3369"/>
            <w:tcBorders>
              <w:top w:val="single" w:color="0F62FE" w:sz="6"/>
              <w:left w:val="single" w:color="E0E0E0" w:sz="2"/>
              <w:bottom w:val="single" w:color="0F62FE" w:sz="3"/>
              <w:right w:val="single" w:color="E0E0E0" w:sz="2"/>
            </w:tcBorders>
            <w:shd w:fill="D0E2FF" w:val="solid"/>
            <w:tcMar>
              <w:top w:type="dxa" w:w="40"/>
              <w:left w:type="dxa" w:w="120"/>
              <w:bottom w:type="dxa" w:w="40"/>
              <w:right w:type="dxa" w:w="120"/>
            </w:tcMar>
          </w:tcPr>
          <w:p>
            <w:pPr>
              <w:spacing w:after="60" w:before="60"/>
            </w:pPr>
            <w:r>
              <w:rPr>
                <w:rFonts w:ascii="Calibri" w:cs="Calibri" w:eastAsia="Calibri" w:hAnsi="Calibri"/>
                <w:b/>
                <w:bCs/>
                <w:i w:val="false"/>
                <w:iCs w:val="false"/>
                <w:color w:val="001141"/>
                <w:sz w:val="19"/>
                <w:szCs w:val="19"/>
              </w:rPr>
              <w:t xml:space="preserve">KPIs Tracked</w:t>
            </w:r>
          </w:p>
        </w:tc>
        <w:tc>
          <w:tcPr>
            <w:tcW w:type="dxa" w:w="2246"/>
            <w:tcBorders>
              <w:top w:val="single" w:color="0F62FE" w:sz="6"/>
              <w:left w:val="single" w:color="E0E0E0" w:sz="2"/>
              <w:bottom w:val="single" w:color="0F62FE" w:sz="3"/>
              <w:right w:val="single" w:color="E0E0E0" w:sz="2"/>
            </w:tcBorders>
            <w:shd w:fill="D0E2FF" w:val="solid"/>
            <w:tcMar>
              <w:top w:type="dxa" w:w="40"/>
              <w:left w:type="dxa" w:w="120"/>
              <w:bottom w:type="dxa" w:w="40"/>
              <w:right w:type="dxa" w:w="120"/>
            </w:tcMar>
          </w:tcPr>
          <w:p>
            <w:pPr>
              <w:spacing w:after="60" w:before="60"/>
            </w:pPr>
            <w:r>
              <w:rPr>
                <w:rFonts w:ascii="Calibri" w:cs="Calibri" w:eastAsia="Calibri" w:hAnsi="Calibri"/>
                <w:b/>
                <w:bCs/>
                <w:i w:val="false"/>
                <w:iCs w:val="false"/>
                <w:color w:val="001141"/>
                <w:sz w:val="19"/>
                <w:szCs w:val="19"/>
              </w:rPr>
              <w:t xml:space="preserve">Data Source</w:t>
            </w:r>
          </w:p>
        </w:tc>
        <w:tc>
          <w:tcPr>
            <w:tcW w:type="dxa" w:w="1872"/>
            <w:tcBorders>
              <w:top w:val="single" w:color="0F62FE" w:sz="6"/>
              <w:left w:val="single" w:color="E0E0E0" w:sz="2"/>
              <w:bottom w:val="single" w:color="0F62FE" w:sz="3"/>
              <w:right w:val="single" w:color="E0E0E0" w:sz="2"/>
            </w:tcBorders>
            <w:shd w:fill="D0E2FF" w:val="solid"/>
            <w:tcMar>
              <w:top w:type="dxa" w:w="40"/>
              <w:left w:type="dxa" w:w="120"/>
              <w:bottom w:type="dxa" w:w="40"/>
              <w:right w:type="dxa" w:w="120"/>
            </w:tcMar>
          </w:tcPr>
          <w:p>
            <w:pPr>
              <w:spacing w:after="60" w:before="60"/>
            </w:pPr>
            <w:r>
              <w:rPr>
                <w:rFonts w:ascii="Calibri" w:cs="Calibri" w:eastAsia="Calibri" w:hAnsi="Calibri"/>
                <w:b/>
                <w:bCs/>
                <w:i w:val="false"/>
                <w:iCs w:val="false"/>
                <w:color w:val="001141"/>
                <w:sz w:val="19"/>
                <w:szCs w:val="19"/>
              </w:rPr>
              <w:t xml:space="preserve">Cadence</w:t>
            </w:r>
          </w:p>
        </w:tc>
      </w:tr>
      <w:tr>
        <w:tc>
          <w:tcPr>
            <w:tcW w:type="dxa" w:w="1872"/>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Operational Excellence</w:t>
            </w:r>
          </w:p>
        </w:tc>
        <w:tc>
          <w:tcPr>
            <w:tcW w:type="dxa" w:w="3369"/>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MTTR, availability, incident volume, auto-resolution %</w:t>
            </w:r>
          </w:p>
        </w:tc>
        <w:tc>
          <w:tcPr>
            <w:tcW w:type="dxa" w:w="2246"/>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ITSM + AIOps telemetry</w:t>
            </w:r>
          </w:p>
        </w:tc>
        <w:tc>
          <w:tcPr>
            <w:tcW w:type="dxa" w:w="1872"/>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Weekly</w:t>
            </w:r>
          </w:p>
        </w:tc>
      </w:tr>
      <w:tr>
        <w:tc>
          <w:tcPr>
            <w:tcW w:type="dxa" w:w="1872"/>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Cost &amp; Productivity</w:t>
            </w:r>
          </w:p>
        </w:tc>
        <w:tc>
          <w:tcPr>
            <w:tcW w:type="dxa" w:w="3369"/>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Automation ROI, demand reduction, delivery velocity</w:t>
            </w:r>
          </w:p>
        </w:tc>
        <w:tc>
          <w:tcPr>
            <w:tcW w:type="dxa" w:w="2246"/>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Finance + ITSM</w:t>
            </w:r>
          </w:p>
        </w:tc>
        <w:tc>
          <w:tcPr>
            <w:tcW w:type="dxa" w:w="1872"/>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Monthly</w:t>
            </w:r>
          </w:p>
        </w:tc>
      </w:tr>
      <w:tr>
        <w:tc>
          <w:tcPr>
            <w:tcW w:type="dxa" w:w="1872"/>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Quality Engineering</w:t>
            </w:r>
          </w:p>
        </w:tc>
        <w:tc>
          <w:tcPr>
            <w:tcW w:type="dxa" w:w="3369"/>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Coverage, defect escape, regression time, MTTD</w:t>
            </w:r>
          </w:p>
        </w:tc>
        <w:tc>
          <w:tcPr>
            <w:tcW w:type="dxa" w:w="2246"/>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QE toolchain + CI/CD</w:t>
            </w:r>
          </w:p>
        </w:tc>
        <w:tc>
          <w:tcPr>
            <w:tcW w:type="dxa" w:w="1872"/>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Per sprint</w:t>
            </w:r>
          </w:p>
        </w:tc>
      </w:tr>
      <w:tr>
        <w:tc>
          <w:tcPr>
            <w:tcW w:type="dxa" w:w="1872"/>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Platform</w:t>
            </w:r>
          </w:p>
        </w:tc>
        <w:tc>
          <w:tcPr>
            <w:tcW w:type="dxa" w:w="3369"/>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n-1 compliance, debt index, upgrade velocity</w:t>
            </w:r>
          </w:p>
        </w:tc>
        <w:tc>
          <w:tcPr>
            <w:tcW w:type="dxa" w:w="2246"/>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CMDB + security scans</w:t>
            </w:r>
          </w:p>
        </w:tc>
        <w:tc>
          <w:tcPr>
            <w:tcW w:type="dxa" w:w="1872"/>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Monthly</w:t>
            </w:r>
          </w:p>
        </w:tc>
      </w:tr>
      <w:tr>
        <w:tc>
          <w:tcPr>
            <w:tcW w:type="dxa" w:w="1872"/>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Business Outcomes</w:t>
            </w:r>
          </w:p>
        </w:tc>
        <w:tc>
          <w:tcPr>
            <w:tcW w:type="dxa" w:w="3369"/>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Claims cycle, enrollment time, FCR, provider ASA</w:t>
            </w:r>
          </w:p>
        </w:tc>
        <w:tc>
          <w:tcPr>
            <w:tcW w:type="dxa" w:w="2246"/>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8"/>
                <w:szCs w:val="18"/>
              </w:rPr>
              <w:t xml:space="preserve">Domain dashboards</w:t>
            </w:r>
          </w:p>
        </w:tc>
        <w:tc>
          <w:tcPr>
            <w:tcW w:type="dxa" w:w="1872"/>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Monthly</w:t>
            </w:r>
          </w:p>
        </w:tc>
      </w:tr>
    </w:tbl>
    <w:p>
      <w:pPr>
        <w:spacing w:after="0" w:before="0"/>
      </w:pPr>
      <w:r>
        <w:br w:type="page"/>
      </w:r>
    </w:p>
    <w:p>
      <w:pPr>
        <w:pBdr>
          <w:top w:val="single" w:color="0F62FE" w:sz="12" w:space="6"/>
        </w:pBdr>
        <w:spacing w:after="20" w:before="240"/>
      </w:pPr>
    </w:p>
    <w:p>
      <w:pPr>
        <w:spacing w:after="20" w:before="20"/>
      </w:pPr>
      <w:r>
        <w:rPr>
          <w:rFonts w:ascii="Calibri" w:cs="Calibri" w:eastAsia="Calibri" w:hAnsi="Calibri"/>
          <w:b/>
          <w:bCs/>
          <w:i w:val="false"/>
          <w:iCs w:val="false"/>
          <w:color w:val="0F62FE"/>
          <w:sz w:val="16"/>
          <w:szCs w:val="16"/>
        </w:rPr>
        <w:t xml:space="preserve">9.0  </w:t>
      </w:r>
      <w:r>
        <w:rPr>
          <w:rFonts w:ascii="Calibri" w:cs="Calibri" w:eastAsia="Calibri" w:hAnsi="Calibri"/>
          <w:b/>
          <w:bCs/>
          <w:i w:val="false"/>
          <w:iCs w:val="false"/>
          <w:color w:val="001141"/>
          <w:sz w:val="26"/>
          <w:szCs w:val="26"/>
        </w:rPr>
        <w:t xml:space="preserve">WHY IBM — AND WHY NOW</w:t>
      </w:r>
      <w:r>
        <w:rPr>
          <w:rFonts w:ascii="Calibri" w:cs="Calibri" w:eastAsia="Calibri" w:hAnsi="Calibri"/>
          <w:b w:val="false"/>
          <w:bCs w:val="false"/>
          <w:i/>
          <w:iCs/>
          <w:color w:val="8D8D8D"/>
          <w:sz w:val="19"/>
          <w:szCs w:val="19"/>
        </w:rPr>
        <w:t xml:space="preserve">   The depth, the assets, and the accountability to deliver</w:t>
      </w:r>
    </w:p>
    <w:p>
      <w:pPr>
        <w:spacing w:after="40" w:before="0"/>
      </w:pPr>
      <w:r>
        <w:rPr>
          <w:rFonts w:ascii="Calibri" w:cs="Calibri" w:eastAsia="Calibri" w:hAnsi="Calibri"/>
          <w:b w:val="false"/>
          <w:bCs w:val="false"/>
          <w:i w:val="false"/>
          <w:iCs w:val="false"/>
          <w:color w:val="161616"/>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tcW w:type="dxa" w:w="2340"/>
            <w:tcBorders>
              <w:top w:val="single" w:color="0F62FE" w:sz="8"/>
              <w:left w:val="single" w:color="E0E0E0" w:sz="2"/>
              <w:bottom w:val="single" w:color="E0E0E0" w:sz="2"/>
              <w:right w:val="single" w:color="E0E0E0" w:sz="2"/>
            </w:tcBorders>
            <w:shd w:fill="EBF2FF" w:val="solid"/>
            <w:tcMar>
              <w:top w:type="dxa" w:w="80"/>
              <w:left w:type="dxa" w:w="120"/>
              <w:bottom w:type="dxa" w:w="80"/>
              <w:right w:type="dxa" w:w="120"/>
            </w:tcMar>
          </w:tcPr>
          <w:p>
            <w:pPr>
              <w:spacing w:after="40" w:before="160"/>
              <w:jc w:val="center"/>
            </w:pPr>
            <w:r>
              <w:rPr>
                <w:rFonts w:ascii="Calibri" w:cs="Calibri" w:eastAsia="Calibri" w:hAnsi="Calibri"/>
                <w:b/>
                <w:bCs/>
                <w:i w:val="false"/>
                <w:iCs w:val="false"/>
                <w:color w:val="0F62FE"/>
                <w:sz w:val="44"/>
                <w:szCs w:val="44"/>
              </w:rPr>
              <w:t xml:space="preserve">20,000+</w:t>
            </w:r>
          </w:p>
          <w:p>
            <w:pPr>
              <w:spacing w:after="40" w:before="0"/>
              <w:jc w:val="center"/>
            </w:pPr>
            <w:r>
              <w:rPr>
                <w:rFonts w:ascii="Calibri" w:cs="Calibri" w:eastAsia="Calibri" w:hAnsi="Calibri"/>
                <w:b/>
                <w:bCs/>
                <w:i w:val="false"/>
                <w:iCs w:val="false"/>
                <w:color w:val="001141"/>
                <w:sz w:val="18"/>
                <w:szCs w:val="18"/>
              </w:rPr>
              <w:t xml:space="preserve">AI &amp; Data Practitioners</w:t>
            </w:r>
          </w:p>
          <w:p>
            <w:pPr>
              <w:spacing w:after="160" w:before="0"/>
              <w:jc w:val="center"/>
            </w:pPr>
            <w:r>
              <w:rPr>
                <w:rFonts w:ascii="Calibri" w:cs="Calibri" w:eastAsia="Calibri" w:hAnsi="Calibri"/>
                <w:b w:val="false"/>
                <w:bCs w:val="false"/>
                <w:i/>
                <w:iCs/>
                <w:color w:val="525252"/>
                <w:sz w:val="16"/>
                <w:szCs w:val="16"/>
              </w:rPr>
              <w:t xml:space="preserve">globally dedicated</w:t>
            </w:r>
          </w:p>
        </w:tc>
        <w:tc>
          <w:tcPr>
            <w:tcW w:type="dxa" w:w="2340"/>
            <w:tcBorders>
              <w:top w:val="single" w:color="0F62FE" w:sz="8"/>
              <w:left w:val="single" w:color="E0E0E0" w:sz="2"/>
              <w:bottom w:val="single" w:color="E0E0E0" w:sz="2"/>
              <w:right w:val="single" w:color="E0E0E0" w:sz="2"/>
            </w:tcBorders>
            <w:shd w:fill="EBF2FF" w:val="solid"/>
            <w:tcMar>
              <w:top w:type="dxa" w:w="80"/>
              <w:left w:type="dxa" w:w="120"/>
              <w:bottom w:type="dxa" w:w="80"/>
              <w:right w:type="dxa" w:w="120"/>
            </w:tcMar>
          </w:tcPr>
          <w:p>
            <w:pPr>
              <w:spacing w:after="40" w:before="160"/>
              <w:jc w:val="center"/>
            </w:pPr>
            <w:r>
              <w:rPr>
                <w:rFonts w:ascii="Calibri" w:cs="Calibri" w:eastAsia="Calibri" w:hAnsi="Calibri"/>
                <w:b/>
                <w:bCs/>
                <w:i w:val="false"/>
                <w:iCs w:val="false"/>
                <w:color w:val="0F62FE"/>
                <w:sz w:val="44"/>
                <w:szCs w:val="44"/>
              </w:rPr>
              <w:t xml:space="preserve">81,000+</w:t>
            </w:r>
          </w:p>
          <w:p>
            <w:pPr>
              <w:spacing w:after="40" w:before="0"/>
              <w:jc w:val="center"/>
            </w:pPr>
            <w:r>
              <w:rPr>
                <w:rFonts w:ascii="Calibri" w:cs="Calibri" w:eastAsia="Calibri" w:hAnsi="Calibri"/>
                <w:b/>
                <w:bCs/>
                <w:i w:val="false"/>
                <w:iCs w:val="false"/>
                <w:color w:val="001141"/>
                <w:sz w:val="18"/>
                <w:szCs w:val="18"/>
              </w:rPr>
              <w:t xml:space="preserve">Cloud &amp; Architecture Experts</w:t>
            </w:r>
          </w:p>
          <w:p>
            <w:pPr>
              <w:spacing w:after="160" w:before="0"/>
              <w:jc w:val="center"/>
            </w:pPr>
            <w:r>
              <w:rPr>
                <w:rFonts w:ascii="Calibri" w:cs="Calibri" w:eastAsia="Calibri" w:hAnsi="Calibri"/>
                <w:b w:val="false"/>
                <w:bCs w:val="false"/>
                <w:i/>
                <w:iCs/>
                <w:color w:val="525252"/>
                <w:sz w:val="16"/>
                <w:szCs w:val="16"/>
              </w:rPr>
              <w:t xml:space="preserve">across IBM Consulting</w:t>
            </w:r>
          </w:p>
        </w:tc>
        <w:tc>
          <w:tcPr>
            <w:tcW w:type="dxa" w:w="2340"/>
            <w:tcBorders>
              <w:top w:val="single" w:color="0F62FE" w:sz="8"/>
              <w:left w:val="single" w:color="E0E0E0" w:sz="2"/>
              <w:bottom w:val="single" w:color="E0E0E0" w:sz="2"/>
              <w:right w:val="single" w:color="E0E0E0" w:sz="2"/>
            </w:tcBorders>
            <w:shd w:fill="EBF2FF" w:val="solid"/>
            <w:tcMar>
              <w:top w:type="dxa" w:w="80"/>
              <w:left w:type="dxa" w:w="120"/>
              <w:bottom w:type="dxa" w:w="80"/>
              <w:right w:type="dxa" w:w="120"/>
            </w:tcMar>
          </w:tcPr>
          <w:p>
            <w:pPr>
              <w:spacing w:after="40" w:before="160"/>
              <w:jc w:val="center"/>
            </w:pPr>
            <w:r>
              <w:rPr>
                <w:rFonts w:ascii="Calibri" w:cs="Calibri" w:eastAsia="Calibri" w:hAnsi="Calibri"/>
                <w:b/>
                <w:bCs/>
                <w:i w:val="false"/>
                <w:iCs w:val="false"/>
                <w:color w:val="0F62FE"/>
                <w:sz w:val="44"/>
                <w:szCs w:val="44"/>
              </w:rPr>
              <w:t xml:space="preserve">40,000+</w:t>
            </w:r>
          </w:p>
          <w:p>
            <w:pPr>
              <w:spacing w:after="40" w:before="0"/>
              <w:jc w:val="center"/>
            </w:pPr>
            <w:r>
              <w:rPr>
                <w:rFonts w:ascii="Calibri" w:cs="Calibri" w:eastAsia="Calibri" w:hAnsi="Calibri"/>
                <w:b/>
                <w:bCs/>
                <w:i w:val="false"/>
                <w:iCs w:val="false"/>
                <w:color w:val="001141"/>
                <w:sz w:val="18"/>
                <w:szCs w:val="18"/>
              </w:rPr>
              <w:t xml:space="preserve">AI/Analytics Engagements</w:t>
            </w:r>
          </w:p>
          <w:p>
            <w:pPr>
              <w:spacing w:after="160" w:before="0"/>
              <w:jc w:val="center"/>
            </w:pPr>
            <w:r>
              <w:rPr>
                <w:rFonts w:ascii="Calibri" w:cs="Calibri" w:eastAsia="Calibri" w:hAnsi="Calibri"/>
                <w:b w:val="false"/>
                <w:bCs w:val="false"/>
                <w:i/>
                <w:iCs/>
                <w:color w:val="525252"/>
                <w:sz w:val="16"/>
                <w:szCs w:val="16"/>
              </w:rPr>
              <w:t xml:space="preserve">delivered for clients worldwide</w:t>
            </w:r>
          </w:p>
        </w:tc>
        <w:tc>
          <w:tcPr>
            <w:tcW w:type="dxa" w:w="2340"/>
            <w:tcBorders>
              <w:top w:val="single" w:color="0F62FE" w:sz="8"/>
              <w:left w:val="single" w:color="E0E0E0" w:sz="2"/>
              <w:bottom w:val="single" w:color="E0E0E0" w:sz="2"/>
              <w:right w:val="single" w:color="E0E0E0" w:sz="2"/>
            </w:tcBorders>
            <w:shd w:fill="EBF2FF" w:val="solid"/>
            <w:tcMar>
              <w:top w:type="dxa" w:w="80"/>
              <w:left w:type="dxa" w:w="120"/>
              <w:bottom w:type="dxa" w:w="80"/>
              <w:right w:type="dxa" w:w="120"/>
            </w:tcMar>
          </w:tcPr>
          <w:p>
            <w:pPr>
              <w:spacing w:after="40" w:before="160"/>
              <w:jc w:val="center"/>
            </w:pPr>
            <w:r>
              <w:rPr>
                <w:rFonts w:ascii="Calibri" w:cs="Calibri" w:eastAsia="Calibri" w:hAnsi="Calibri"/>
                <w:b/>
                <w:bCs/>
                <w:i w:val="false"/>
                <w:iCs w:val="false"/>
                <w:color w:val="0F62FE"/>
                <w:sz w:val="44"/>
                <w:szCs w:val="44"/>
              </w:rPr>
              <w:t xml:space="preserve">9 of 10</w:t>
            </w:r>
          </w:p>
          <w:p>
            <w:pPr>
              <w:spacing w:after="40" w:before="0"/>
              <w:jc w:val="center"/>
            </w:pPr>
            <w:r>
              <w:rPr>
                <w:rFonts w:ascii="Calibri" w:cs="Calibri" w:eastAsia="Calibri" w:hAnsi="Calibri"/>
                <w:b/>
                <w:bCs/>
                <w:i w:val="false"/>
                <w:iCs w:val="false"/>
                <w:color w:val="001141"/>
                <w:sz w:val="18"/>
                <w:szCs w:val="18"/>
              </w:rPr>
              <w:t xml:space="preserve">Top US Health Payers</w:t>
            </w:r>
          </w:p>
          <w:p>
            <w:pPr>
              <w:spacing w:after="160" w:before="0"/>
              <w:jc w:val="center"/>
            </w:pPr>
            <w:r>
              <w:rPr>
                <w:rFonts w:ascii="Calibri" w:cs="Calibri" w:eastAsia="Calibri" w:hAnsi="Calibri"/>
                <w:b w:val="false"/>
                <w:bCs w:val="false"/>
                <w:i/>
                <w:iCs/>
                <w:color w:val="525252"/>
                <w:sz w:val="16"/>
                <w:szCs w:val="16"/>
              </w:rPr>
              <w:t xml:space="preserve">served by IBM Consulting</w:t>
            </w:r>
          </w:p>
        </w:tc>
      </w:tr>
    </w:tbl>
    <w:p>
      <w:pPr>
        <w:spacing w:after="120" w:before="0"/>
      </w:pPr>
      <w:r>
        <w:rPr>
          <w:rFonts w:ascii="Calibri" w:cs="Calibri" w:eastAsia="Calibri" w:hAnsi="Calibri"/>
          <w:b w:val="false"/>
          <w:bCs w:val="false"/>
          <w:i w:val="false"/>
          <w:iCs w:val="false"/>
          <w:color w:val="161616"/>
          <w:sz w:val="21"/>
          <w:szCs w:val="21"/>
        </w:rPr>
        <w:t xml:space="preserve"/>
      </w:r>
    </w:p>
    <w:p>
      <w:pPr>
        <w:spacing w:after="80" w:before="0"/>
      </w:pPr>
      <w:r>
        <w:rPr>
          <w:rFonts w:ascii="Calibri" w:cs="Calibri" w:eastAsia="Calibri" w:hAnsi="Calibri"/>
          <w:b w:val="false"/>
          <w:bCs w:val="false"/>
          <w:i w:val="false"/>
          <w:iCs w:val="false"/>
          <w:color w:val="161616"/>
          <w:sz w:val="21"/>
          <w:szCs w:val="21"/>
        </w:rPr>
        <w:t xml:space="preserve"/>
      </w:r>
    </w:p>
    <w:p>
      <w:pPr>
        <w:spacing w:after="40" w:before="80"/>
        <w:ind w:left="720" w:right="720"/>
        <w:jc w:val="center"/>
      </w:pPr>
      <w:r>
        <w:rPr>
          <w:rFonts w:ascii="Calibri" w:cs="Calibri" w:eastAsia="Calibri" w:hAnsi="Calibri"/>
          <w:b w:val="false"/>
          <w:bCs w:val="false"/>
          <w:i/>
          <w:iCs/>
          <w:color w:val="001141"/>
          <w:sz w:val="23"/>
          <w:szCs w:val="23"/>
        </w:rPr>
        <w:t xml:space="preserve">“IBM’s ultimate accountability is not to a contract. It is to the 3.7 million members who rely on Horizon’s systems every day — the patient waiting for a prior auth, the provider navigating a claims dispute, the family enrolling in coverage for the first time. That is who we are building for.”</w:t>
      </w:r>
    </w:p>
    <w:p>
      <w:pPr>
        <w:spacing w:after="100" w:before="0"/>
        <w:jc w:val="center"/>
      </w:pPr>
      <w:r>
        <w:rPr>
          <w:rFonts w:ascii="Calibri" w:cs="Calibri" w:eastAsia="Calibri" w:hAnsi="Calibri"/>
          <w:b/>
          <w:bCs/>
          <w:i w:val="false"/>
          <w:iCs w:val="false"/>
          <w:color w:val="0F62FE"/>
          <w:sz w:val="18"/>
          <w:szCs w:val="18"/>
        </w:rPr>
        <w:t xml:space="preserve">— IBM Consulting — Healthcare &amp; Payer Delivery</w:t>
      </w:r>
    </w:p>
    <w:p>
      <w:pPr>
        <w:pBdr>
          <w:bottom w:val="single" w:color="A6C8FF" w:sz="4" w:space="0"/>
        </w:pBdr>
        <w:spacing w:after="100" w:before="0"/>
        <w:ind w:left="2160" w:right="2160"/>
      </w:pPr>
    </w:p>
    <w:tbl>
      <w:tblPr>
        <w:tblW w:type="dxa" w:w="9360"/>
        <w:tblBorders>
          <w:top w:val="none"/>
          <w:left w:val="none"/>
          <w:bottom w:val="none"/>
          <w:right w:val="none"/>
          <w:insideH w:val="single" w:color="auto" w:sz="4"/>
          <w:insideV w:val="single" w:color="auto" w:sz="4"/>
        </w:tblBorders>
        <w:tblLayout w:type="fixed"/>
      </w:tblPr>
      <w:tblGrid>
        <w:gridCol w:w="100"/>
        <w:gridCol w:w="100"/>
        <w:gridCol w:w="100"/>
      </w:tblGrid>
      <w:tr>
        <w:tc>
          <w:tcPr>
            <w:tcW w:type="dxa" w:w="4493"/>
            <w:tcBorders>
              <w:top w:val="none"/>
              <w:left w:val="none"/>
              <w:bottom w:val="none"/>
              <w:right w:val="none"/>
            </w:tcBorders>
            <w:tcMar>
              <w:right w:type="dxa" w:w="160"/>
            </w:tcMar>
          </w:tcPr>
          <w:p>
            <w:pPr>
              <w:spacing w:after="60" w:before="0"/>
            </w:pPr>
            <w:r>
              <w:rPr>
                <w:rFonts w:ascii="Calibri" w:cs="Calibri" w:eastAsia="Calibri" w:hAnsi="Calibri"/>
                <w:b/>
                <w:bCs/>
                <w:i w:val="false"/>
                <w:iCs w:val="false"/>
                <w:color w:val="001141"/>
                <w:sz w:val="21"/>
                <w:szCs w:val="21"/>
              </w:rPr>
              <w:t xml:space="preserve">What Makes IBM Different</w:t>
            </w:r>
          </w:p>
          <w:p>
            <w:pPr>
              <w:spacing w:after="40" w:before="100"/>
            </w:pPr>
            <w:r>
              <w:rPr>
                <w:rFonts w:ascii="Calibri" w:cs="Calibri" w:eastAsia="Calibri" w:hAnsi="Calibri"/>
                <w:b/>
                <w:bCs/>
                <w:i w:val="false"/>
                <w:iCs w:val="false"/>
                <w:color w:val="0F62FE"/>
                <w:sz w:val="21"/>
                <w:szCs w:val="21"/>
              </w:rPr>
              <w:t xml:space="preserve">Production-Grade Assets, Day 1</w:t>
            </w:r>
          </w:p>
          <w:p>
            <w:pPr>
              <w:spacing w:after="20" w:before="0"/>
            </w:pPr>
            <w:r>
              <w:rPr>
                <w:rFonts w:ascii="Calibri" w:cs="Calibri" w:eastAsia="Calibri" w:hAnsi="Calibri"/>
                <w:b w:val="false"/>
                <w:bCs w:val="false"/>
                <w:i w:val="false"/>
                <w:iCs w:val="false"/>
                <w:color w:val="525252"/>
                <w:sz w:val="19"/>
                <w:szCs w:val="19"/>
              </w:rPr>
              <w:t xml:space="preserve">IBM AIOps, ICA, CareOps360, GenAI Quality Engine, and IBM Consulting Advantage are live in production at comparable payers today — not promised in a roadmap.</w:t>
            </w:r>
          </w:p>
          <w:p>
            <w:pPr>
              <w:spacing w:after="40" w:before="100"/>
            </w:pPr>
            <w:r>
              <w:rPr>
                <w:rFonts w:ascii="Calibri" w:cs="Calibri" w:eastAsia="Calibri" w:hAnsi="Calibri"/>
                <w:b/>
                <w:bCs/>
                <w:i w:val="false"/>
                <w:iCs w:val="false"/>
                <w:color w:val="0F62FE"/>
                <w:sz w:val="21"/>
                <w:szCs w:val="21"/>
              </w:rPr>
              <w:t xml:space="preserve">Deep Horizon Knowledge</w:t>
            </w:r>
          </w:p>
          <w:p>
            <w:pPr>
              <w:spacing w:after="20" w:before="0"/>
            </w:pPr>
            <w:r>
              <w:rPr>
                <w:rFonts w:ascii="Calibri" w:cs="Calibri" w:eastAsia="Calibri" w:hAnsi="Calibri"/>
                <w:b w:val="false"/>
                <w:bCs w:val="false"/>
                <w:i w:val="false"/>
                <w:iCs w:val="false"/>
                <w:color w:val="525252"/>
                <w:sz w:val="19"/>
                <w:szCs w:val="19"/>
              </w:rPr>
              <w:t xml:space="preserve">IBM brings institutional knowledge of Horizon’s application estate and change history — reducing transition risk to near-zero and accelerating Phase 0.</w:t>
            </w:r>
          </w:p>
          <w:p>
            <w:pPr>
              <w:spacing w:after="40" w:before="100"/>
            </w:pPr>
            <w:r>
              <w:rPr>
                <w:rFonts w:ascii="Calibri" w:cs="Calibri" w:eastAsia="Calibri" w:hAnsi="Calibri"/>
                <w:b/>
                <w:bCs/>
                <w:i w:val="false"/>
                <w:iCs w:val="false"/>
                <w:color w:val="0F62FE"/>
                <w:sz w:val="21"/>
                <w:szCs w:val="21"/>
              </w:rPr>
              <w:t xml:space="preserve">Healthcare Payer DNA</w:t>
            </w:r>
          </w:p>
          <w:p>
            <w:pPr>
              <w:spacing w:after="20" w:before="0"/>
            </w:pPr>
            <w:r>
              <w:rPr>
                <w:rFonts w:ascii="Calibri" w:cs="Calibri" w:eastAsia="Calibri" w:hAnsi="Calibri"/>
                <w:b w:val="false"/>
                <w:bCs w:val="false"/>
                <w:i w:val="false"/>
                <w:iCs w:val="false"/>
                <w:color w:val="525252"/>
                <w:sz w:val="19"/>
                <w:szCs w:val="19"/>
              </w:rPr>
              <w:t xml:space="preserve">Claims, enrollment, prior authorisation, member services — IBM has modernised these for the nation’s largest payers. The patterns are proven.</w:t>
            </w:r>
          </w:p>
          <w:p>
            <w:pPr>
              <w:spacing w:after="40" w:before="100"/>
            </w:pPr>
            <w:r>
              <w:rPr>
                <w:rFonts w:ascii="Calibri" w:cs="Calibri" w:eastAsia="Calibri" w:hAnsi="Calibri"/>
                <w:b/>
                <w:bCs/>
                <w:i w:val="false"/>
                <w:iCs w:val="false"/>
                <w:color w:val="0F62FE"/>
                <w:sz w:val="21"/>
                <w:szCs w:val="21"/>
              </w:rPr>
              <w:t xml:space="preserve">Shared Risk Model</w:t>
            </w:r>
          </w:p>
          <w:p>
            <w:pPr>
              <w:spacing w:after="20" w:before="0"/>
            </w:pPr>
            <w:r>
              <w:rPr>
                <w:rFonts w:ascii="Calibri" w:cs="Calibri" w:eastAsia="Calibri" w:hAnsi="Calibri"/>
                <w:b w:val="false"/>
                <w:bCs w:val="false"/>
                <w:i w:val="false"/>
                <w:iCs w:val="false"/>
                <w:color w:val="525252"/>
                <w:sz w:val="19"/>
                <w:szCs w:val="19"/>
              </w:rPr>
              <w:t xml:space="preserve">IBM commits to outcome-based SLAs. Targets missed trigger IBM remediation — not renegotiation. Accountability, not aspiration.</w:t>
            </w:r>
          </w:p>
          <w:p>
            <w:pPr>
              <w:spacing w:after="40" w:before="100"/>
            </w:pPr>
            <w:r>
              <w:rPr>
                <w:rFonts w:ascii="Calibri" w:cs="Calibri" w:eastAsia="Calibri" w:hAnsi="Calibri"/>
                <w:b/>
                <w:bCs/>
                <w:i w:val="false"/>
                <w:iCs w:val="false"/>
                <w:color w:val="0F62FE"/>
                <w:sz w:val="21"/>
                <w:szCs w:val="21"/>
              </w:rPr>
              <w:t xml:space="preserve">Innovation at No Extra Cost</w:t>
            </w:r>
          </w:p>
          <w:p>
            <w:pPr>
              <w:spacing w:after="20" w:before="0"/>
            </w:pPr>
            <w:r>
              <w:rPr>
                <w:rFonts w:ascii="Calibri" w:cs="Calibri" w:eastAsia="Calibri" w:hAnsi="Calibri"/>
                <w:b w:val="false"/>
                <w:bCs w:val="false"/>
                <w:i w:val="false"/>
                <w:iCs w:val="false"/>
                <w:color w:val="525252"/>
                <w:sz w:val="19"/>
                <w:szCs w:val="19"/>
              </w:rPr>
              <w:t xml:space="preserve">Innovation sprints, AI tooling, and accelerators are built into the base model. Horizon does not pay separately for transformation.</w:t>
            </w:r>
          </w:p>
        </w:tc>
        <w:tc>
          <w:tcPr>
            <w:tcW w:type="dxa" w:w="374"/>
            <w:tcBorders>
              <w:top w:val="none"/>
              <w:left w:val="none"/>
              <w:bottom w:val="none"/>
              <w:right w:val="none"/>
            </w:tcBorders>
          </w:tcPr>
          <w:p>
            <w:pPr>
              <w:spacing w:after="0" w:before="0"/>
            </w:pPr>
            <w:r>
              <w:rPr>
                <w:rFonts w:ascii="Calibri" w:cs="Calibri" w:eastAsia="Calibri" w:hAnsi="Calibri"/>
                <w:b w:val="false"/>
                <w:bCs w:val="false"/>
                <w:i w:val="false"/>
                <w:iCs w:val="false"/>
                <w:color w:val="161616"/>
                <w:sz w:val="21"/>
                <w:szCs w:val="21"/>
              </w:rPr>
              <w:t xml:space="preserve"/>
            </w:r>
          </w:p>
        </w:tc>
        <w:tc>
          <w:tcPr>
            <w:tcW w:type="dxa" w:w="4493"/>
            <w:tcBorders>
              <w:top w:val="none"/>
              <w:left w:val="none"/>
              <w:bottom w:val="none"/>
              <w:right w:val="none"/>
            </w:tcBorders>
            <w:tcMar>
              <w:left w:type="dxa" w:w="160"/>
            </w:tcMar>
          </w:tcPr>
          <w:p>
            <w:pPr>
              <w:spacing w:after="60" w:before="0"/>
            </w:pPr>
            <w:r>
              <w:rPr>
                <w:rFonts w:ascii="Calibri" w:cs="Calibri" w:eastAsia="Calibri" w:hAnsi="Calibri"/>
                <w:b/>
                <w:bCs/>
                <w:i w:val="false"/>
                <w:iCs w:val="false"/>
                <w:color w:val="001141"/>
                <w:sz w:val="21"/>
                <w:szCs w:val="21"/>
              </w:rPr>
              <w:t xml:space="preserve">The Next Three Steps</w:t>
            </w:r>
          </w:p>
          <w:p>
            <w:pPr>
              <w:spacing w:after="40" w:before="100"/>
            </w:pPr>
            <w:r>
              <w:rPr>
                <w:rFonts w:ascii="Calibri" w:cs="Calibri" w:eastAsia="Calibri" w:hAnsi="Calibri"/>
                <w:b/>
                <w:bCs/>
                <w:i w:val="false"/>
                <w:iCs w:val="false"/>
                <w:color w:val="0F62FE"/>
                <w:sz w:val="20"/>
                <w:szCs w:val="20"/>
              </w:rPr>
              <w:t xml:space="preserve">Week 1–2:  </w:t>
            </w:r>
            <w:r>
              <w:rPr>
                <w:rFonts w:ascii="Calibri" w:cs="Calibri" w:eastAsia="Calibri" w:hAnsi="Calibri"/>
                <w:b w:val="false"/>
                <w:bCs w:val="false"/>
                <w:i w:val="false"/>
                <w:iCs w:val="false"/>
                <w:color w:val="161616"/>
                <w:sz w:val="19"/>
                <w:szCs w:val="19"/>
              </w:rPr>
              <w:t xml:space="preserve">Executive alignment session — Horizon leadership + IBM account team. Agree objectives, scope, and governance.</w:t>
            </w:r>
          </w:p>
          <w:p>
            <w:pPr>
              <w:spacing w:after="40" w:before="100"/>
            </w:pPr>
            <w:r>
              <w:rPr>
                <w:rFonts w:ascii="Calibri" w:cs="Calibri" w:eastAsia="Calibri" w:hAnsi="Calibri"/>
                <w:b/>
                <w:bCs/>
                <w:i w:val="false"/>
                <w:iCs w:val="false"/>
                <w:color w:val="0F62FE"/>
                <w:sz w:val="20"/>
                <w:szCs w:val="20"/>
              </w:rPr>
              <w:t xml:space="preserve">Week 2–4:  </w:t>
            </w:r>
            <w:r>
              <w:rPr>
                <w:rFonts w:ascii="Calibri" w:cs="Calibri" w:eastAsia="Calibri" w:hAnsi="Calibri"/>
                <w:b w:val="false"/>
                <w:bCs w:val="false"/>
                <w:i w:val="false"/>
                <w:iCs w:val="false"/>
                <w:color w:val="161616"/>
                <w:sz w:val="19"/>
                <w:szCs w:val="19"/>
              </w:rPr>
              <w:t xml:space="preserve">Phase 0 SOW agreed. Telemetry onboarding begins. Baseline discovery kicks off. Innovation council constituted.</w:t>
            </w:r>
          </w:p>
          <w:p>
            <w:pPr>
              <w:spacing w:after="40" w:before="100"/>
            </w:pPr>
            <w:r>
              <w:rPr>
                <w:rFonts w:ascii="Calibri" w:cs="Calibri" w:eastAsia="Calibri" w:hAnsi="Calibri"/>
                <w:b/>
                <w:bCs/>
                <w:i w:val="false"/>
                <w:iCs w:val="false"/>
                <w:color w:val="0F62FE"/>
                <w:sz w:val="20"/>
                <w:szCs w:val="20"/>
              </w:rPr>
              <w:t xml:space="preserve">Week 4:  </w:t>
            </w:r>
            <w:r>
              <w:rPr>
                <w:rFonts w:ascii="Calibri" w:cs="Calibri" w:eastAsia="Calibri" w:hAnsi="Calibri"/>
                <w:b w:val="false"/>
                <w:bCs w:val="false"/>
                <w:i w:val="false"/>
                <w:iCs w:val="false"/>
                <w:color w:val="161616"/>
                <w:sz w:val="19"/>
                <w:szCs w:val="19"/>
              </w:rPr>
              <w:t xml:space="preserve">Contractual milestone: Phase 0 live. IBM and Horizon operating as one team from Day 1.</w:t>
            </w:r>
          </w:p>
          <w:p>
            <w:pPr>
              <w:spacing w:after="100" w:before="0"/>
            </w:pPr>
            <w:r>
              <w:rPr>
                <w:rFonts w:ascii="Calibri" w:cs="Calibri" w:eastAsia="Calibri" w:hAnsi="Calibri"/>
                <w:b w:val="false"/>
                <w:bCs w:val="false"/>
                <w:i w:val="false"/>
                <w:iCs w:val="false"/>
                <w:color w:val="161616"/>
                <w:sz w:val="21"/>
                <w:szCs w:val="21"/>
              </w:rPr>
              <w:t xml:space="preserve"/>
            </w:r>
          </w:p>
          <w:p>
            <w:pPr>
              <w:spacing w:after="60" w:before="80"/>
            </w:pPr>
            <w:r>
              <w:rPr>
                <w:rFonts w:ascii="Calibri" w:cs="Calibri" w:eastAsia="Calibri" w:hAnsi="Calibri"/>
                <w:b/>
                <w:bCs/>
                <w:i w:val="false"/>
                <w:iCs w:val="false"/>
                <w:color w:val="001141"/>
                <w:sz w:val="21"/>
                <w:szCs w:val="21"/>
              </w:rPr>
              <w:t xml:space="preserve">IBM vs. The Alternative</w:t>
            </w:r>
          </w:p>
          <w:tbl>
            <w:tblPr>
              <w:tblW w:type="dxa" w:w="4493"/>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tcW w:type="dxa" w:w="1498"/>
                  <w:tcBorders>
                    <w:top w:val="single" w:color="0F62FE" w:sz="6"/>
                    <w:left w:val="single" w:color="E0E0E0" w:sz="2"/>
                    <w:bottom w:val="single" w:color="0F62FE" w:sz="3"/>
                    <w:right w:val="single" w:color="E0E0E0" w:sz="2"/>
                  </w:tcBorders>
                  <w:shd w:fill="D0E2FF" w:val="solid"/>
                  <w:tcMar>
                    <w:top w:type="dxa" w:w="40"/>
                    <w:left w:type="dxa" w:w="120"/>
                    <w:bottom w:type="dxa" w:w="40"/>
                    <w:right w:type="dxa" w:w="120"/>
                  </w:tcMar>
                </w:tcPr>
                <w:p>
                  <w:pPr>
                    <w:spacing w:after="60" w:before="60"/>
                  </w:pPr>
                  <w:r>
                    <w:rPr>
                      <w:rFonts w:ascii="Calibri" w:cs="Calibri" w:eastAsia="Calibri" w:hAnsi="Calibri"/>
                      <w:b/>
                      <w:bCs/>
                      <w:i w:val="false"/>
                      <w:iCs w:val="false"/>
                      <w:color w:val="001141"/>
                      <w:sz w:val="19"/>
                      <w:szCs w:val="19"/>
                    </w:rPr>
                    <w:t xml:space="preserve">Dimension</w:t>
                  </w:r>
                </w:p>
              </w:tc>
              <w:tc>
                <w:tcPr>
                  <w:tcW w:type="dxa" w:w="1498"/>
                  <w:tcBorders>
                    <w:top w:val="single" w:color="0F62FE" w:sz="6"/>
                    <w:left w:val="single" w:color="E0E0E0" w:sz="2"/>
                    <w:bottom w:val="single" w:color="0F62FE" w:sz="3"/>
                    <w:right w:val="single" w:color="E0E0E0" w:sz="2"/>
                  </w:tcBorders>
                  <w:shd w:fill="D0E2FF" w:val="solid"/>
                  <w:tcMar>
                    <w:top w:type="dxa" w:w="40"/>
                    <w:left w:type="dxa" w:w="120"/>
                    <w:bottom w:type="dxa" w:w="40"/>
                    <w:right w:type="dxa" w:w="120"/>
                  </w:tcMar>
                </w:tcPr>
                <w:p>
                  <w:pPr>
                    <w:spacing w:after="60" w:before="60"/>
                  </w:pPr>
                  <w:r>
                    <w:rPr>
                      <w:rFonts w:ascii="Calibri" w:cs="Calibri" w:eastAsia="Calibri" w:hAnsi="Calibri"/>
                      <w:b/>
                      <w:bCs/>
                      <w:i w:val="false"/>
                      <w:iCs w:val="false"/>
                      <w:color w:val="001141"/>
                      <w:sz w:val="19"/>
                      <w:szCs w:val="19"/>
                    </w:rPr>
                    <w:t xml:space="preserve">Status Quo</w:t>
                  </w:r>
                </w:p>
              </w:tc>
              <w:tc>
                <w:tcPr>
                  <w:tcW w:type="dxa" w:w="1498"/>
                  <w:tcBorders>
                    <w:top w:val="single" w:color="0F62FE" w:sz="6"/>
                    <w:left w:val="single" w:color="E0E0E0" w:sz="2"/>
                    <w:bottom w:val="single" w:color="0F62FE" w:sz="3"/>
                    <w:right w:val="single" w:color="E0E0E0" w:sz="2"/>
                  </w:tcBorders>
                  <w:shd w:fill="D0E2FF" w:val="solid"/>
                  <w:tcMar>
                    <w:top w:type="dxa" w:w="40"/>
                    <w:left w:type="dxa" w:w="120"/>
                    <w:bottom w:type="dxa" w:w="40"/>
                    <w:right w:type="dxa" w:w="120"/>
                  </w:tcMar>
                </w:tcPr>
                <w:p>
                  <w:pPr>
                    <w:spacing w:after="60" w:before="60"/>
                  </w:pPr>
                  <w:r>
                    <w:rPr>
                      <w:rFonts w:ascii="Calibri" w:cs="Calibri" w:eastAsia="Calibri" w:hAnsi="Calibri"/>
                      <w:b/>
                      <w:bCs/>
                      <w:i w:val="false"/>
                      <w:iCs w:val="false"/>
                      <w:color w:val="001141"/>
                      <w:sz w:val="19"/>
                      <w:szCs w:val="19"/>
                    </w:rPr>
                    <w:t xml:space="preserve">IBM</w:t>
                  </w:r>
                </w:p>
              </w:tc>
            </w:tr>
            <w:tr>
              <w:tc>
                <w:tcPr>
                  <w:tcW w:type="dxa" w:w="1498"/>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8"/>
                      <w:szCs w:val="18"/>
                    </w:rPr>
                    <w:t xml:space="preserve">Model</w:t>
                  </w:r>
                </w:p>
              </w:tc>
              <w:tc>
                <w:tcPr>
                  <w:tcW w:type="dxa" w:w="1498"/>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8"/>
                      <w:szCs w:val="18"/>
                    </w:rPr>
                    <w:t xml:space="preserve">Towers, reactive</w:t>
                  </w:r>
                </w:p>
              </w:tc>
              <w:tc>
                <w:tcPr>
                  <w:tcW w:type="dxa" w:w="1498"/>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8"/>
                      <w:szCs w:val="18"/>
                    </w:rPr>
                    <w:t xml:space="preserve">Unified pods, AI-first</w:t>
                  </w:r>
                </w:p>
              </w:tc>
            </w:tr>
            <w:tr>
              <w:tc>
                <w:tcPr>
                  <w:tcW w:type="dxa" w:w="1498"/>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8"/>
                      <w:szCs w:val="18"/>
                    </w:rPr>
                    <w:t xml:space="preserve">Dev</w:t>
                  </w:r>
                </w:p>
              </w:tc>
              <w:tc>
                <w:tcPr>
                  <w:tcW w:type="dxa" w:w="1498"/>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8"/>
                      <w:szCs w:val="18"/>
                    </w:rPr>
                    <w:t xml:space="preserve">Manual pipelines</w:t>
                  </w:r>
                </w:p>
              </w:tc>
              <w:tc>
                <w:tcPr>
                  <w:tcW w:type="dxa" w:w="1498"/>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8"/>
                      <w:szCs w:val="18"/>
                    </w:rPr>
                    <w:t xml:space="preserve">AI-assisted, +30%</w:t>
                  </w:r>
                </w:p>
              </w:tc>
            </w:tr>
            <w:tr>
              <w:tc>
                <w:tcPr>
                  <w:tcW w:type="dxa" w:w="1498"/>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8"/>
                      <w:szCs w:val="18"/>
                    </w:rPr>
                    <w:t xml:space="preserve">Quality</w:t>
                  </w:r>
                </w:p>
              </w:tc>
              <w:tc>
                <w:tcPr>
                  <w:tcW w:type="dxa" w:w="1498"/>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8"/>
                      <w:szCs w:val="18"/>
                    </w:rPr>
                    <w:t xml:space="preserve">End-stage testing</w:t>
                  </w:r>
                </w:p>
              </w:tc>
              <w:tc>
                <w:tcPr>
                  <w:tcW w:type="dxa" w:w="1498"/>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8"/>
                      <w:szCs w:val="18"/>
                    </w:rPr>
                    <w:t xml:space="preserve">Shift-left, GenAI</w:t>
                  </w:r>
                </w:p>
              </w:tc>
            </w:tr>
            <w:tr>
              <w:tc>
                <w:tcPr>
                  <w:tcW w:type="dxa" w:w="1498"/>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8"/>
                      <w:szCs w:val="18"/>
                    </w:rPr>
                    <w:t xml:space="preserve">Ops</w:t>
                  </w:r>
                </w:p>
              </w:tc>
              <w:tc>
                <w:tcPr>
                  <w:tcW w:type="dxa" w:w="1498"/>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8"/>
                      <w:szCs w:val="18"/>
                    </w:rPr>
                    <w:t xml:space="preserve">Firefighting</w:t>
                  </w:r>
                </w:p>
              </w:tc>
              <w:tc>
                <w:tcPr>
                  <w:tcW w:type="dxa" w:w="1498"/>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8"/>
                      <w:szCs w:val="18"/>
                    </w:rPr>
                    <w:t xml:space="preserve">Self-healing, 0-touch</w:t>
                  </w:r>
                </w:p>
              </w:tc>
            </w:tr>
            <w:tr>
              <w:tc>
                <w:tcPr>
                  <w:tcW w:type="dxa" w:w="1498"/>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8"/>
                      <w:szCs w:val="18"/>
                    </w:rPr>
                    <w:t xml:space="preserve">Reporting</w:t>
                  </w:r>
                </w:p>
              </w:tc>
              <w:tc>
                <w:tcPr>
                  <w:tcW w:type="dxa" w:w="1498"/>
                  <w:tcBorders>
                    <w:top w:val="single" w:color="E0E0E0" w:sz="2"/>
                    <w:left w:val="single" w:color="E0E0E0" w:sz="2"/>
                    <w:bottom w:val="single" w:color="E0E0E0" w:sz="2"/>
                    <w:right w:val="single" w:color="E0E0E0" w:sz="2"/>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8"/>
                      <w:szCs w:val="18"/>
                    </w:rPr>
                    <w:t xml:space="preserve">Activity metrics</w:t>
                  </w:r>
                </w:p>
              </w:tc>
              <w:tc>
                <w:tcPr>
                  <w:tcW w:type="dxa" w:w="1498"/>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8"/>
                      <w:szCs w:val="18"/>
                    </w:rPr>
                    <w:t xml:space="preserve">Business outcomes</w:t>
                  </w:r>
                </w:p>
              </w:tc>
            </w:tr>
            <w:tr>
              <w:tc>
                <w:tcPr>
                  <w:tcW w:type="dxa" w:w="1498"/>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8"/>
                      <w:szCs w:val="18"/>
                    </w:rPr>
                    <w:t xml:space="preserve">Risk</w:t>
                  </w:r>
                </w:p>
              </w:tc>
              <w:tc>
                <w:tcPr>
                  <w:tcW w:type="dxa" w:w="1498"/>
                  <w:tcBorders>
                    <w:top w:val="single" w:color="E0E0E0" w:sz="2"/>
                    <w:left w:val="single" w:color="E0E0E0" w:sz="2"/>
                    <w:bottom w:val="single" w:color="E0E0E0" w:sz="2"/>
                    <w:right w:val="single" w:color="E0E0E0" w:sz="2"/>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8"/>
                      <w:szCs w:val="18"/>
                    </w:rPr>
                    <w:t xml:space="preserve">Vendor bears none</w:t>
                  </w:r>
                </w:p>
              </w:tc>
              <w:tc>
                <w:tcPr>
                  <w:tcW w:type="dxa" w:w="1498"/>
                  <w:tcBorders>
                    <w:top w:val="single" w:color="E0E0E0" w:sz="2"/>
                    <w:left w:val="single" w:color="E0E0E0" w:sz="2"/>
                    <w:bottom w:val="single" w:color="E0E0E0" w:sz="2"/>
                    <w:right w:val="single" w:color="E0E0E0" w:sz="2"/>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8"/>
                      <w:szCs w:val="18"/>
                    </w:rPr>
                    <w:t xml:space="preserve">Shared, outcome SLAs</w:t>
                  </w:r>
                </w:p>
              </w:tc>
            </w:tr>
          </w:tbl>
          <w:p/>
        </w:tc>
      </w:tr>
    </w:tbl>
    <w:p>
      <w:pPr>
        <w:spacing w:after="120" w:before="0"/>
      </w:pPr>
      <w:r>
        <w:rPr>
          <w:rFonts w:ascii="Calibri" w:cs="Calibri" w:eastAsia="Calibri" w:hAnsi="Calibri"/>
          <w:b w:val="false"/>
          <w:bCs w:val="false"/>
          <w:i w:val="false"/>
          <w:iCs w:val="false"/>
          <w:color w:val="161616"/>
          <w:sz w:val="21"/>
          <w:szCs w:val="21"/>
        </w:rPr>
        <w:t xml:space="preserve"/>
      </w:r>
    </w:p>
    <w:p>
      <w:pPr>
        <w:pBdr>
          <w:bottom w:val="single" w:color="0F62FE" w:sz="8" w:space="3"/>
        </w:pBdr>
        <w:spacing w:after="100" w:before="100"/>
      </w:pPr>
    </w:p>
    <w:p>
      <w:pPr>
        <w:spacing w:after="80" w:before="0"/>
      </w:pPr>
      <w:r>
        <w:rPr>
          <w:rFonts w:ascii="Calibri" w:cs="Calibri" w:eastAsia="Calibri" w:hAnsi="Calibri"/>
          <w:b w:val="false"/>
          <w:bCs w:val="false"/>
          <w:i w:val="false"/>
          <w:iCs w:val="false"/>
          <w:color w:val="161616"/>
          <w:sz w:val="21"/>
          <w:szCs w:val="21"/>
        </w:rPr>
        <w:t xml:space="preserve"/>
      </w:r>
    </w:p>
    <w:p>
      <w:pPr>
        <w:spacing w:after="80" w:before="80"/>
        <w:ind w:left="576" w:right="576"/>
        <w:jc w:val="center"/>
      </w:pPr>
      <w:r>
        <w:rPr>
          <w:rFonts w:ascii="Calibri" w:cs="Calibri" w:eastAsia="Calibri" w:hAnsi="Calibri"/>
          <w:b w:val="false"/>
          <w:bCs w:val="false"/>
          <w:i/>
          <w:iCs/>
          <w:color w:val="161616"/>
          <w:sz w:val="22"/>
          <w:szCs w:val="22"/>
        </w:rPr>
        <w:t xml:space="preserve">“IBM’s measure of success is not tickets closed, alerts silenced, or tests generated. It is the member who gets their answer faster, the provider who spends less time on administration, and the </w:t>
      </w:r>
      <w:r>
        <w:rPr>
          <w:rFonts w:ascii="Calibri" w:cs="Calibri" w:eastAsia="Calibri" w:hAnsi="Calibri"/>
          <w:b/>
          <w:bCs/>
          <w:i/>
          <w:iCs/>
          <w:color w:val="001141"/>
          <w:sz w:val="22"/>
          <w:szCs w:val="22"/>
        </w:rPr>
        <w:t xml:space="preserve">payer that can finally direct every saved dollar back toward the care that matters.</w:t>
      </w:r>
      <w:r>
        <w:rPr>
          <w:rFonts w:ascii="Calibri" w:cs="Calibri" w:eastAsia="Calibri" w:hAnsi="Calibri"/>
          <w:b w:val="false"/>
          <w:bCs w:val="false"/>
          <w:i/>
          <w:iCs/>
          <w:color w:val="161616"/>
          <w:sz w:val="22"/>
          <w:szCs w:val="22"/>
        </w:rPr>
        <w:t xml:space="preserve"> That is why we are here.”</w:t>
      </w:r>
    </w:p>
    <w:p>
      <w:pPr>
        <w:spacing w:after="200" w:before="0"/>
        <w:jc w:val="right"/>
      </w:pPr>
      <w:r>
        <w:rPr>
          <w:rFonts w:ascii="Calibri" w:cs="Calibri" w:eastAsia="Calibri" w:hAnsi="Calibri"/>
          <w:b/>
          <w:bCs/>
          <w:i w:val="false"/>
          <w:iCs w:val="false"/>
          <w:color w:val="0F62FE"/>
          <w:sz w:val="19"/>
          <w:szCs w:val="19"/>
        </w:rPr>
        <w:t xml:space="preserve">— IBM Consulting, Healthcare &amp; Payer Delivery  |  April 2026</w:t>
      </w:r>
    </w:p>
    <w:p>
      <w:pPr>
        <w:pBdr>
          <w:bottom w:val="single" w:color="E0E0E0" w:sz="2" w:space="3"/>
        </w:pBdr>
        <w:spacing w:after="80" w:before="80"/>
      </w:pPr>
    </w:p>
    <w:p>
      <w:pPr>
        <w:spacing w:after="60" w:before="60"/>
        <w:jc w:val="center"/>
      </w:pPr>
      <w:r>
        <w:rPr>
          <w:rFonts w:ascii="Calibri" w:cs="Calibri" w:eastAsia="Calibri" w:hAnsi="Calibri"/>
          <w:b w:val="false"/>
          <w:bCs w:val="false"/>
          <w:i w:val="false"/>
          <w:iCs w:val="false"/>
          <w:color w:val="8D8D8D"/>
          <w:sz w:val="15"/>
          <w:szCs w:val="15"/>
        </w:rPr>
        <w:t xml:space="preserve">© 2026 IBM Corporation. All rights reserved.  Confidential — prepared exclusively for Horizon Healthcare Services.  Ref: IBM-HZN-AMS-RFP-2026-CAS</w:t>
      </w:r>
    </w:p>
    <w:sectPr>
      <w:headerReference w:type="default" r:id="rId7"/>
      <w:footerReference w:type="default" r:id="rId8"/>
      <w:pgSz w:w="11906" w:h="16838" w:orient="portrait"/>
      <w:pgMar w:top="1224"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pBdr>
      <w:spacing w:before="60"/>
    </w:pPr>
    <w:r>
      <w:rPr>
        <w:rFonts w:ascii="Calibri" w:cs="Calibri" w:eastAsia="Calibri" w:hAnsi="Calibri"/>
        <w:b/>
        <w:bCs/>
        <w:i w:val="false"/>
        <w:iCs w:val="false"/>
        <w:color w:val="0F62FE"/>
        <w:sz w:val="15"/>
        <w:szCs w:val="15"/>
      </w:rPr>
      <w:t xml:space="preserve">CareOps360  ·  IBM AIOps  ·  IBM Consulting Advantage  ·  ICA</w:t>
    </w:r>
    <w:r>
      <w:rPr>
        <w:rFonts w:ascii="Calibri" w:cs="Calibri" w:eastAsia="Calibri" w:hAnsi="Calibri"/>
        <w:b w:val="false"/>
        <w:bCs w:val="false"/>
        <w:i w:val="false"/>
        <w:iCs w:val="false"/>
        <w:color w:val="8D8D8D"/>
        <w:sz w:val="15"/>
        <w:szCs w:val="15"/>
      </w:rPr>
      <w:t xml:space="preserve">   |   © 2026 IBM Corporation   |   Page </w:t>
    </w:r>
    <w:r>
      <w:rPr>
        <w:rFonts w:ascii="Calibri" w:cs="Calibri" w:eastAsia="Calibri" w:hAnsi="Calibri"/>
        <w:color w:val="8D8D8D"/>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4"/>
      </w:pBdr>
      <w:jc w:val="right"/>
    </w:pPr>
    <w:r>
      <w:rPr>
        <w:rFonts w:ascii="Calibri" w:cs="Calibri" w:eastAsia="Calibri" w:hAnsi="Calibri"/>
        <w:b/>
        <w:bCs/>
        <w:i w:val="false"/>
        <w:iCs w:val="false"/>
        <w:color w:val="8D8D8D"/>
        <w:sz w:val="15"/>
        <w:szCs w:val="15"/>
      </w:rPr>
      <w:t xml:space="preserve">IBM × HORIZON BCBS  |  APPLICATION DELIVERY, QUALITY &amp; OPERATIONS TRANSFORMATION</w:t>
    </w:r>
    <w:r>
      <w:rPr>
        <w:rFonts w:ascii="Calibri" w:cs="Calibri" w:eastAsia="Calibri" w:hAnsi="Calibri"/>
        <w:b/>
        <w:bCs/>
        <w:i w:val="false"/>
        <w:iCs w:val="false"/>
        <w:color w:val="0F62FE"/>
        <w:sz w:val="15"/>
        <w:szCs w:val="15"/>
      </w:rPr>
      <w:t xml:space="preserve">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IBM × Horizon BCBS — Application Delivery, Quality &amp; Operations Transformation</dc:title>
  <dc:creator>IBM Consulting</dc:creator>
  <dc:description>Confidential — April 2026</dc:description>
  <cp:lastModifiedBy>Un-named</cp:lastModifiedBy>
  <cp:revision>1</cp:revision>
  <dcterms:created xsi:type="dcterms:W3CDTF">2026-04-16T04:01:57.118Z</dcterms:created>
  <dcterms:modified xsi:type="dcterms:W3CDTF">2026-04-16T04:01:57.122Z</dcterms:modified>
</cp:coreProperties>
</file>

<file path=docProps/custom.xml><?xml version="1.0" encoding="utf-8"?>
<Properties xmlns="http://schemas.openxmlformats.org/officeDocument/2006/custom-properties" xmlns:vt="http://schemas.openxmlformats.org/officeDocument/2006/docPropsVTypes"/>
</file>