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footer+xml" PartName="/word/footer2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1141" w:val="clear"/>
        <w:spacing w:after="200" w:before="200"/>
      </w:pPr>
      <w:r>
        <w:rPr>
          <w:rFonts w:ascii="Calibri" w:cs="Calibri" w:eastAsia="Calibri" w:hAnsi="Calibri"/>
          <w:b/>
          <w:bCs/>
          <w:i w:val="false"/>
          <w:iCs w:val="false"/>
          <w:color w:val="FFFFFF"/>
          <w:sz w:val="16"/>
          <w:szCs w:val="16"/>
        </w:rPr>
        <w:t xml:space="preserve">  IBM CONSULTING   |   HEALTHCARE &amp; PAYER DELIVERY   |   AMS PRACTICE</w:t>
      </w:r>
    </w:p>
    <w:p>
      <w:pPr>
        <w:shd w:fill="0F62FE" w:val="clear"/>
        <w:spacing w:after="20" w:before="0"/>
      </w:pPr>
    </w:p>
    <w:p>
      <w:pPr>
        <w:spacing w:after="320" w:before="0"/>
      </w:pPr>
      <w:r>
        <w:rPr>
          <w:rFonts w:ascii="Calibri" w:cs="Calibri" w:eastAsia="Calibri" w:hAnsi="Calibri"/>
          <w:sz w:val="8"/>
          <w:szCs w:val="8"/>
        </w:rPr>
        <w:t xml:space="preserve"/>
      </w:r>
    </w:p>
    <w:p>
      <w:pPr>
        <w:spacing w:after="80" w:before="0"/>
        <w:ind w:left="1100" w:right="0"/>
      </w:pPr>
      <w:r>
        <w:rPr>
          <w:rFonts w:ascii="Calibri" w:cs="Calibri" w:eastAsia="Calibri" w:hAnsi="Calibri"/>
          <w:b/>
          <w:bCs/>
          <w:i w:val="false"/>
          <w:iCs w:val="false"/>
          <w:color w:val="0F62FE"/>
          <w:sz w:val="36"/>
          <w:szCs w:val="36"/>
        </w:rPr>
        <w:t xml:space="preserve">AI-FIRST  ·  AGENTIC BY CORE  ·  ZERO-TOUCH DELIVERY</w:t>
      </w:r>
    </w:p>
    <w:p>
      <w:pPr>
        <w:spacing w:after="0" w:before="0"/>
        <w:ind w:left="1584"/>
      </w:pPr>
      <w:r>
        <w:rPr>
          <w:rFonts w:ascii="Calibri" w:cs="Calibri" w:eastAsia="Calibri" w:hAnsi="Calibri"/>
          <w:b/>
          <w:bCs/>
          <w:i w:val="false"/>
          <w:iCs w:val="false"/>
          <w:color w:val="001141"/>
          <w:sz w:val="60"/>
          <w:szCs w:val="60"/>
        </w:rPr>
        <w:t xml:space="preserve">Transforming Horizon BCBS Into a</w:t>
      </w:r>
    </w:p>
    <w:p>
      <w:pPr>
        <w:spacing w:after="160" w:before="0"/>
        <w:ind w:left="1584"/>
      </w:pPr>
      <w:r>
        <w:rPr>
          <w:rFonts w:ascii="Calibri" w:cs="Calibri" w:eastAsia="Calibri" w:hAnsi="Calibri"/>
          <w:b/>
          <w:bCs/>
          <w:i w:val="false"/>
          <w:iCs w:val="false"/>
          <w:color w:val="0F62FE"/>
          <w:sz w:val="60"/>
          <w:szCs w:val="60"/>
        </w:rPr>
        <w:t xml:space="preserve">Predictive, Self-Healing, AI-Driven Enterprise</w:t>
      </w:r>
    </w:p>
    <w:p>
      <w:pPr>
        <w:spacing w:after="160" w:before="0"/>
        <w:ind w:left="1100" w:right="0"/>
      </w:pPr>
      <w:r>
        <w:rPr>
          <w:rFonts w:ascii="Calibri" w:cs="Calibri" w:eastAsia="Calibri" w:hAnsi="Calibri"/>
          <w:b w:val="false"/>
          <w:bCs w:val="false"/>
          <w:i/>
          <w:iCs/>
          <w:color w:val="8D8D8D"/>
          <w:sz w:val="24"/>
          <w:szCs w:val="24"/>
        </w:rPr>
        <w:t xml:space="preserve">An Executive Summary for Horizon BCBS Leadership</w:t>
      </w:r>
    </w:p>
    <w:p>
      <w:pPr>
        <w:pBdr>
          <w:left w:val="single" w:color="0F62FE" w:sz="14" w:space="8"/>
        </w:pBdr>
        <w:spacing w:after="120" w:before="40"/>
        <w:ind w:left="1584" w:right="1152"/>
      </w:pPr>
      <w:r>
        <w:rPr>
          <w:rFonts w:ascii="Calibri" w:cs="Calibri" w:eastAsia="Calibri" w:hAnsi="Calibri"/>
          <w:b w:val="false"/>
          <w:bCs w:val="false"/>
          <w:i/>
          <w:iCs/>
          <w:color w:val="001141"/>
          <w:sz w:val="20"/>
          <w:szCs w:val="20"/>
        </w:rPr>
        <w:t xml:space="preserve">“IBM is not proposing a technology project — IBM is proposing a transformation partnership that embeds AI-driven intelligence into the operating model of Horizon BCBS, enabling a future-ready enterprise that is faster, smarter, and more resilient than today.”</w:t>
      </w:r>
    </w:p>
    <w:p>
      <w:pPr>
        <w:spacing w:after="80" w:before="0"/>
      </w:pPr>
      <w:r>
        <w:rPr>
          <w:rFonts w:ascii="Calibri" w:cs="Calibri" w:eastAsia="Calibri" w:hAnsi="Calibri"/>
          <w:sz w:val="8"/>
          <w:szCs w:val="8"/>
        </w:rPr>
        <w:t xml:space="preserve"/>
      </w:r>
    </w:p>
    <w:p>
      <w:pPr>
        <w:spacing w:after="120" w:before="40"/>
        <w:ind w:left="1584" w:right="720"/>
      </w:pPr>
      <w:r>
        <w:rPr>
          <w:rFonts w:ascii="Calibri" w:cs="Calibri" w:eastAsia="Calibri" w:hAnsi="Calibri"/>
          <w:b/>
          <w:bCs/>
          <w:i w:val="false"/>
          <w:iCs w:val="false"/>
          <w:color w:val="001141"/>
          <w:sz w:val="19"/>
          <w:szCs w:val="19"/>
        </w:rPr>
        <w:t xml:space="preserve">Five Strategic Commitments:  </w:t>
      </w:r>
      <w:r>
        <w:rPr>
          <w:rFonts w:ascii="Calibri" w:cs="Calibri" w:eastAsia="Calibri" w:hAnsi="Calibri"/>
          <w:b w:val="false"/>
          <w:bCs w:val="false"/>
          <w:i w:val="false"/>
          <w:iCs w:val="false"/>
          <w:color w:val="525252"/>
          <w:sz w:val="19"/>
          <w:szCs w:val="19"/>
        </w:rPr>
        <w:t xml:space="preserve">AI-First Operating Model  ·  Tech Arbitrage over Labor Arbitrage  ·  Outcome-Based Delivery  ·  Zero-Disruption Transition  ·  Continuous Innovation Engine</w:t>
      </w:r>
    </w:p>
    <w:p>
      <w:pPr>
        <w:spacing w:after="120" w:before="0"/>
        <w:ind w:left="1584" w:right="720"/>
      </w:pPr>
      <w:r>
        <w:rPr>
          <w:rFonts w:ascii="Calibri" w:cs="Calibri" w:eastAsia="Calibri" w:hAnsi="Calibri"/>
          <w:b/>
          <w:bCs/>
          <w:i w:val="false"/>
          <w:iCs w:val="false"/>
          <w:color w:val="001141"/>
          <w:sz w:val="19"/>
          <w:szCs w:val="19"/>
        </w:rPr>
        <w:t xml:space="preserve">IBM’s Scale:  </w:t>
      </w:r>
      <w:r>
        <w:rPr>
          <w:rFonts w:ascii="Calibri" w:cs="Calibri" w:eastAsia="Calibri" w:hAnsi="Calibri"/>
          <w:b w:val="false"/>
          <w:bCs w:val="false"/>
          <w:i w:val="false"/>
          <w:iCs w:val="false"/>
          <w:color w:val="525252"/>
          <w:sz w:val="19"/>
          <w:szCs w:val="19"/>
        </w:rPr>
        <w:t xml:space="preserve">20,000+ AI practitioners  ·  81,000+ cloud experts  ·  40,000+ AI engagements  ·  15,000+ across 40 global delivery centers  ·  Client-0 AI saved IBM ~$3.4B USD</w:t>
      </w:r>
    </w:p>
    <w:p>
      <w:pPr>
        <w:spacing w:after="60" w:before="40"/>
        <w:ind w:left="1584"/>
      </w:pPr>
      <w:r>
        <w:rPr>
          <w:rFonts w:ascii="Calibri" w:cs="Calibri" w:eastAsia="Calibri" w:hAnsi="Calibri"/>
          <w:b/>
          <w:bCs/>
          <w:i w:val="false"/>
          <w:iCs w:val="false"/>
          <w:color w:val="001141"/>
          <w:sz w:val="18"/>
          <w:szCs w:val="18"/>
        </w:rPr>
        <w:t xml:space="preserve">Submitted by: </w:t>
      </w:r>
      <w:r>
        <w:rPr>
          <w:rFonts w:ascii="Calibri" w:cs="Calibri" w:eastAsia="Calibri" w:hAnsi="Calibri"/>
          <w:b w:val="false"/>
          <w:bCs w:val="false"/>
          <w:i w:val="false"/>
          <w:iCs w:val="false"/>
          <w:color w:val="525252"/>
          <w:sz w:val="18"/>
          <w:szCs w:val="18"/>
        </w:rPr>
        <w:t xml:space="preserve">IBM Consulting — Healthcare &amp; Payer Delivery          </w:t>
      </w:r>
      <w:r>
        <w:rPr>
          <w:rFonts w:ascii="Calibri" w:cs="Calibri" w:eastAsia="Calibri" w:hAnsi="Calibri"/>
          <w:b/>
          <w:bCs/>
          <w:i w:val="false"/>
          <w:iCs w:val="false"/>
          <w:color w:val="001141"/>
          <w:sz w:val="18"/>
          <w:szCs w:val="18"/>
        </w:rPr>
        <w:t xml:space="preserve">Submitted to: </w:t>
      </w:r>
      <w:r>
        <w:rPr>
          <w:rFonts w:ascii="Calibri" w:cs="Calibri" w:eastAsia="Calibri" w:hAnsi="Calibri"/>
          <w:b w:val="false"/>
          <w:bCs w:val="false"/>
          <w:i w:val="false"/>
          <w:iCs w:val="false"/>
          <w:color w:val="525252"/>
          <w:sz w:val="18"/>
          <w:szCs w:val="18"/>
        </w:rPr>
        <w:t xml:space="preserve">Horizon BCBS — Executive Leadership &amp; Technology Office</w:t>
      </w:r>
    </w:p>
    <w:p>
      <w:pPr>
        <w:spacing w:after="0" w:before="0"/>
        <w:ind w:left="1100" w:right="0"/>
      </w:pPr>
      <w:r>
        <w:rPr>
          <w:rFonts w:ascii="Calibri" w:cs="Calibri" w:eastAsia="Calibri" w:hAnsi="Calibri"/>
          <w:b w:val="false"/>
          <w:bCs w:val="false"/>
          <w:i w:val="false"/>
          <w:iCs w:val="false"/>
          <w:color w:val="8D8D8D"/>
          <w:sz w:val="17"/>
          <w:szCs w:val="17"/>
        </w:rPr>
        <w:t xml:space="preserve">Confidential  |  April 2026  |  Ref: IBM-HZN-AMS-RFP-2026-CAS</w:t>
      </w:r>
    </w:p>
    <w:p>
      <w:pPr>
        <w:spacing w:after="160" w:before="0"/>
      </w:pPr>
      <w:r>
        <w:rPr>
          <w:rFonts w:ascii="Calibri" w:cs="Calibri" w:eastAsia="Calibri" w:hAnsi="Calibri"/>
          <w:sz w:val="8"/>
          <w:szCs w:val="8"/>
        </w:rPr>
        <w:t xml:space="preserve"/>
      </w:r>
    </w:p>
    <w:p>
      <w:pPr>
        <w:shd w:fill="001141" w:val="clear"/>
        <w:spacing w:after="60" w:before="60"/>
      </w:pPr>
      <w:r>
        <w:rPr>
          <w:rFonts w:ascii="Calibri" w:cs="Calibri" w:eastAsia="Calibri" w:hAnsi="Calibri"/>
          <w:b w:val="false"/>
          <w:bCs w:val="false"/>
          <w:i w:val="false"/>
          <w:iCs w:val="false"/>
          <w:color w:val="FFFFFF"/>
          <w:sz w:val="15"/>
          <w:szCs w:val="15"/>
        </w:rPr>
        <w:t xml:space="preserve">  Powered by CareOps360  ·  IBM AIOps  ·  IBM Consulting Advantage  ·  HIPAA Compliant  ·  © 2026 IBM Corporation</w:t>
      </w:r>
    </w:p>
    <w:p>
      <w:pPr>
        <w:sectPr>
          <w:pgSz w:w="11906" w:h="16838" w:orient="portrait"/>
          <w:pgMar w:top="0" w:right="0" w:bottom="0" w:left="0" w:header="708" w:footer="708" w:gutter="0"/>
          <w:pgNumType/>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01  </w:t>
      </w:r>
      <w:r>
        <w:rPr>
          <w:rFonts w:ascii="Calibri" w:cs="Calibri" w:eastAsia="Calibri" w:hAnsi="Calibri"/>
          <w:b/>
          <w:bCs/>
          <w:i w:val="false"/>
          <w:iCs w:val="false"/>
          <w:color w:val="001141"/>
          <w:sz w:val="30"/>
          <w:szCs w:val="30"/>
        </w:rPr>
        <w:t xml:space="preserve">The Transformation Imperative</w:t>
      </w:r>
    </w:p>
    <w:p>
      <w:pPr>
        <w:spacing w:after="80" w:before="0"/>
      </w:pPr>
      <w:r>
        <w:rPr>
          <w:rFonts w:ascii="Calibri" w:cs="Calibri" w:eastAsia="Calibri" w:hAnsi="Calibri"/>
          <w:b w:val="false"/>
          <w:bCs w:val="false"/>
          <w:i/>
          <w:iCs/>
          <w:color w:val="8D8D8D"/>
          <w:sz w:val="18"/>
          <w:szCs w:val="18"/>
        </w:rPr>
        <w:t xml:space="preserve">Horizon’s Strategic Objectives &amp; IBM’s Solution Design Rationale</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“A mother enrolling her newborn should not wait five days because two systems failed to sync. A provider submitting a prior auth should not chase a fax. Every metric IBM tracks connects to a member, a provider, or a patient.”</w:t>
      </w:r>
    </w:p>
    <w:p>
      <w:pPr>
        <w:spacing w:after="80" w:before="0"/>
        <w:jc w:val="right"/>
      </w:pPr>
      <w:r>
        <w:rPr>
          <w:rFonts w:ascii="Calibri" w:cs="Calibri" w:eastAsia="Calibri" w:hAnsi="Calibri"/>
          <w:b/>
          <w:bCs/>
          <w:i w:val="false"/>
          <w:iCs w:val="false"/>
          <w:color w:val="0F62FE"/>
          <w:sz w:val="16"/>
          <w:szCs w:val="16"/>
        </w:rPr>
        <w:t xml:space="preserve">— IBM Consulting, Healthcare &amp; Payer Delivery</w:t>
      </w:r>
    </w:p>
    <w:p>
      <w:pPr>
        <w:sectPr>
          <w:headerReference w:type="default" r:id="rId7"/>
          <w:footerReference w:type="default" r:id="rId8"/>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What Horizon Needs</w:t>
      </w:r>
    </w:p>
    <w:p>
      <w:pPr>
        <w:spacing w:after="80" w:before="0"/>
      </w:pPr>
      <w:r>
        <w:rPr>
          <w:rFonts w:ascii="Calibri" w:cs="Calibri" w:eastAsia="Calibri" w:hAnsi="Calibri"/>
          <w:b w:val="false"/>
          <w:bCs w:val="false"/>
          <w:i w:val="false"/>
          <w:iCs w:val="false"/>
          <w:color w:val="525252"/>
          <w:sz w:val="19"/>
          <w:szCs w:val="19"/>
        </w:rPr>
        <w:t xml:space="preserve">Horizon BCBS manages ~1,000 applications spanning enrollment, claims, member services, provider operations, and data platforms. The incumbent model — reactive, labor-intensive, fragmented — cannot meet growth objectives or the expectations of 3.7 million members.</w:t>
      </w:r>
    </w:p>
    <w:p>
      <w:pPr>
        <w:spacing w:after="40" w:before="60"/>
      </w:pPr>
      <w:r>
        <w:rPr>
          <w:rFonts w:ascii="Calibri" w:cs="Calibri" w:eastAsia="Calibri" w:hAnsi="Calibri"/>
          <w:b/>
          <w:bCs/>
          <w:i w:val="false"/>
          <w:iCs w:val="false"/>
          <w:color w:val="001141"/>
          <w:sz w:val="22"/>
          <w:szCs w:val="22"/>
        </w:rPr>
        <w:t xml:space="preserve">Service Transformation Goals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 and automation to drive operational efficiencies across all AMS towers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Product-oriented model aligned to business domains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Focused automation in testing and quality engineering</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 tools to drive Agile modernization across ~1,000 apps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Deep healthcare payer consulting expertise</w:t>
      </w:r>
    </w:p>
    <w:p>
      <w:pPr>
        <w:spacing w:after="40" w:before="60"/>
      </w:pPr>
      <w:r>
        <w:rPr>
          <w:rFonts w:ascii="Calibri" w:cs="Calibri" w:eastAsia="Calibri" w:hAnsi="Calibri"/>
          <w:b/>
          <w:bCs/>
          <w:i w:val="false"/>
          <w:iCs w:val="false"/>
          <w:color w:val="001141"/>
          <w:sz w:val="22"/>
          <w:szCs w:val="22"/>
        </w:rPr>
        <w:t xml:space="preserve">Cost Structure Expectations</w:t>
      </w:r>
    </w:p>
    <w:p>
      <w:pPr>
        <w:spacing w:after="80" w:before="0"/>
      </w:pPr>
      <w:r>
        <w:rPr>
          <w:rFonts w:ascii="Calibri" w:cs="Calibri" w:eastAsia="Calibri" w:hAnsi="Calibri"/>
          <w:b w:val="false"/>
          <w:bCs w:val="false"/>
          <w:i w:val="false"/>
          <w:iCs w:val="false"/>
          <w:color w:val="525252"/>
          <w:sz w:val="19"/>
          <w:szCs w:val="19"/>
        </w:rPr>
        <w:t xml:space="preserve">Horizon expects structural cost reduction — not just efficiency gains. Year-over-year productivity improvements and cost takeout driven by automation and AI, not rate arbitrage.</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Factors That Shaped IBM’s Solution</w:t>
      </w:r>
    </w:p>
    <w:p>
      <w:pPr>
        <w:spacing w:after="20" w:before="80"/>
      </w:pPr>
      <w:r>
        <w:rPr>
          <w:rFonts w:ascii="Calibri" w:cs="Calibri" w:eastAsia="Calibri" w:hAnsi="Calibri"/>
          <w:b/>
          <w:bCs/>
          <w:i w:val="false"/>
          <w:iCs w:val="false"/>
          <w:color w:val="0F62FE"/>
          <w:sz w:val="20"/>
          <w:szCs w:val="20"/>
        </w:rPr>
        <w:t xml:space="preserve">End-to-End Integrated Delivery</w:t>
      </w:r>
    </w:p>
    <w:p>
      <w:pPr>
        <w:spacing w:after="80" w:before="0"/>
      </w:pPr>
      <w:r>
        <w:rPr>
          <w:rFonts w:ascii="Calibri" w:cs="Calibri" w:eastAsia="Calibri" w:hAnsi="Calibri"/>
          <w:b w:val="false"/>
          <w:bCs w:val="false"/>
          <w:i w:val="false"/>
          <w:iCs w:val="false"/>
          <w:color w:val="525252"/>
          <w:sz w:val="19"/>
          <w:szCs w:val="19"/>
        </w:rPr>
        <w:t xml:space="preserve">Unified model across Maintenance, Dev, Testing, Data. No silos. One team, one backlog, one set of outcomes.</w:t>
      </w:r>
    </w:p>
    <w:p>
      <w:pPr>
        <w:spacing w:after="20" w:before="80"/>
      </w:pPr>
      <w:r>
        <w:rPr>
          <w:rFonts w:ascii="Calibri" w:cs="Calibri" w:eastAsia="Calibri" w:hAnsi="Calibri"/>
          <w:b/>
          <w:bCs/>
          <w:i w:val="false"/>
          <w:iCs w:val="false"/>
          <w:color w:val="0F62FE"/>
          <w:sz w:val="20"/>
          <w:szCs w:val="20"/>
        </w:rPr>
        <w:t xml:space="preserve">AI at the Core</w:t>
      </w:r>
    </w:p>
    <w:p>
      <w:pPr>
        <w:spacing w:after="80" w:before="0"/>
      </w:pPr>
      <w:r>
        <w:rPr>
          <w:rFonts w:ascii="Calibri" w:cs="Calibri" w:eastAsia="Calibri" w:hAnsi="Calibri"/>
          <w:b w:val="false"/>
          <w:bCs w:val="false"/>
          <w:i w:val="false"/>
          <w:iCs w:val="false"/>
          <w:color w:val="525252"/>
          <w:sz w:val="19"/>
          <w:szCs w:val="19"/>
        </w:rPr>
        <w:t xml:space="preserve">Embedded in triage, RCA, resolution, test automation, and continuous validation from Day 1.</w:t>
      </w:r>
    </w:p>
    <w:p>
      <w:pPr>
        <w:spacing w:after="20" w:before="80"/>
      </w:pPr>
      <w:r>
        <w:rPr>
          <w:rFonts w:ascii="Calibri" w:cs="Calibri" w:eastAsia="Calibri" w:hAnsi="Calibri"/>
          <w:b/>
          <w:bCs/>
          <w:i w:val="false"/>
          <w:iCs w:val="false"/>
          <w:color w:val="0F62FE"/>
          <w:sz w:val="20"/>
          <w:szCs w:val="20"/>
        </w:rPr>
        <w:t xml:space="preserve">Transition Without Disruption</w:t>
      </w:r>
    </w:p>
    <w:p>
      <w:pPr>
        <w:spacing w:after="80" w:before="0"/>
      </w:pPr>
      <w:r>
        <w:rPr>
          <w:rFonts w:ascii="Calibri" w:cs="Calibri" w:eastAsia="Calibri" w:hAnsi="Calibri"/>
          <w:b w:val="false"/>
          <w:bCs w:val="false"/>
          <w:i w:val="false"/>
          <w:iCs w:val="false"/>
          <w:color w:val="525252"/>
          <w:sz w:val="19"/>
          <w:szCs w:val="19"/>
        </w:rPr>
        <w:t xml:space="preserve">Phased approach maintaining seamless service continuity while progressively modernizing the operating model.</w:t>
      </w:r>
    </w:p>
    <w:p>
      <w:pPr>
        <w:spacing w:after="20" w:before="80"/>
      </w:pPr>
      <w:r>
        <w:rPr>
          <w:rFonts w:ascii="Calibri" w:cs="Calibri" w:eastAsia="Calibri" w:hAnsi="Calibri"/>
          <w:b/>
          <w:bCs/>
          <w:i w:val="false"/>
          <w:iCs w:val="false"/>
          <w:color w:val="0F62FE"/>
          <w:sz w:val="20"/>
          <w:szCs w:val="20"/>
        </w:rPr>
        <w:t xml:space="preserve">Open, Elastic Architecture</w:t>
      </w:r>
    </w:p>
    <w:p>
      <w:pPr>
        <w:spacing w:after="80" w:before="0"/>
      </w:pPr>
      <w:r>
        <w:rPr>
          <w:rFonts w:ascii="Calibri" w:cs="Calibri" w:eastAsia="Calibri" w:hAnsi="Calibri"/>
          <w:b w:val="false"/>
          <w:bCs w:val="false"/>
          <w:i w:val="false"/>
          <w:iCs w:val="false"/>
          <w:color w:val="525252"/>
          <w:sz w:val="19"/>
          <w:szCs w:val="19"/>
        </w:rPr>
        <w:t xml:space="preserve">Deployed on Horizon’s existing AWS stack. No vendor lock-in. Plug-and-play flexibility.</w:t>
      </w:r>
    </w:p>
    <w:p>
      <w:pPr>
        <w:spacing w:after="40" w:before="0"/>
      </w:pPr>
      <w:r>
        <w:rPr>
          <w:rFonts w:ascii="Calibri" w:cs="Calibri" w:eastAsia="Calibri" w:hAnsi="Calibri"/>
          <w:sz w:val="8"/>
          <w:szCs w:val="8"/>
        </w:rPr>
        <w:t xml:space="preserve"/>
      </w:r>
    </w:p>
    <w:p>
      <w:pPr>
        <w:shd w:fill="EBF2FF" w:val="clear"/>
        <w:spacing w:after="80" w:before="80"/>
        <w:ind w:left="215" w:right="215"/>
      </w:pPr>
      <w:r>
        <w:rPr>
          <w:rFonts w:ascii="Calibri" w:cs="Calibri" w:eastAsia="Calibri" w:hAnsi="Calibri"/>
          <w:b/>
          <w:bCs/>
          <w:i w:val="false"/>
          <w:iCs w:val="false"/>
          <w:color w:val="001141"/>
          <w:sz w:val="19"/>
          <w:szCs w:val="19"/>
        </w:rPr>
        <w:t xml:space="preserve">IBM shifts Horizon from reactive incident management to predictive, autonomous operations</w:t>
      </w:r>
    </w:p>
    <w:p>
      <w:pPr>
        <w:sectPr>
          <w:headerReference w:type="default" r:id="rId9"/>
          <w:footerReference w:type="default" r:id="rId10"/>
          <w:type w:val="continuous"/>
          <w:pgSz w:w="11906" w:h="16838" w:orient="portrait"/>
          <w:pgMar w:top="1080" w:right="1224" w:bottom="863" w:left="1224" w:header="708" w:footer="708" w:gutter="0"/>
          <w:pgNumType/>
          <w:cols w:space="431" w:num="2" w:sep="false"/>
          <w:docGrid w:linePitch="360"/>
        </w:sectPr>
      </w:pPr>
    </w:p>
    <w:p>
      <w:pPr>
        <w:spacing w:after="6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Current State vs. IBM 12-Month Targets</w:t>
      </w:r>
    </w:p>
    <w:p>
      <w:pPr>
        <w:spacing w:after="60" w:before="0"/>
      </w:pPr>
      <w:r>
        <w:rPr>
          <w:rFonts w:ascii="Calibri" w:cs="Calibri" w:eastAsia="Calibri" w:hAnsi="Calibri"/>
          <w:b w:val="false"/>
          <w:bCs w:val="false"/>
          <w:i/>
          <w:iCs/>
          <w:color w:val="8D8D8D"/>
          <w:sz w:val="16"/>
          <w:szCs w:val="16"/>
        </w:rPr>
        <w:t xml:space="preserve">All current-state estimates are directional; formally baselined during SOW. Committed targets contractually agreed at program commencement.</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2808"/>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Operational Metric</w:t>
            </w:r>
          </w:p>
        </w:tc>
        <w:tc>
          <w:tcPr>
            <w:tcW w:type="dxa" w:w="1685"/>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Current State</w:t>
            </w:r>
          </w:p>
        </w:tc>
        <w:tc>
          <w:tcPr>
            <w:tcW w:type="dxa" w:w="2059"/>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IBM 12-Mo Target</w:t>
            </w:r>
          </w:p>
        </w:tc>
        <w:tc>
          <w:tcPr>
            <w:tcW w:type="dxa" w:w="1498"/>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Direction</w:t>
            </w:r>
          </w:p>
        </w:tc>
        <w:tc>
          <w:tcPr>
            <w:tcW w:type="dxa" w:w="131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Impact</w:t>
            </w:r>
          </w:p>
        </w:tc>
      </w:tr>
      <w:tr>
        <w:tc>
          <w:tcPr>
            <w:tcW w:type="dxa" w:w="280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Test Automation Coverage</w:t>
            </w:r>
          </w:p>
        </w:tc>
        <w:tc>
          <w:tcPr>
            <w:tcW w:type="dxa" w:w="1685"/>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~25%</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80%+</w:t>
            </w:r>
          </w:p>
        </w:tc>
        <w:tc>
          <w:tcPr>
            <w:tcW w:type="dxa" w:w="149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+3×</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Quality</w:t>
            </w:r>
          </w:p>
        </w:tc>
      </w:tr>
      <w:tr>
        <w:tc>
          <w:tcPr>
            <w:tcW w:type="dxa" w:w="280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MTTR (Mean Time to Resolve)</w:t>
            </w:r>
          </w:p>
        </w:tc>
        <w:tc>
          <w:tcPr>
            <w:tcW w:type="dxa" w:w="1685"/>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&gt; 4 hours</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&lt; 1.8 hours</w:t>
            </w:r>
          </w:p>
        </w:tc>
        <w:tc>
          <w:tcPr>
            <w:tcW w:type="dxa" w:w="149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55%</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Members</w:t>
            </w:r>
          </w:p>
        </w:tc>
      </w:tr>
      <w:tr>
        <w:tc>
          <w:tcPr>
            <w:tcW w:type="dxa" w:w="280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Defect Escape to Prod</w:t>
            </w:r>
          </w:p>
        </w:tc>
        <w:tc>
          <w:tcPr>
            <w:tcW w:type="dxa" w:w="1685"/>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High / Untracked</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65% Reduction</w:t>
            </w:r>
          </w:p>
        </w:tc>
        <w:tc>
          <w:tcPr>
            <w:tcW w:type="dxa" w:w="149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Best-in-class</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Patients</w:t>
            </w:r>
          </w:p>
        </w:tc>
      </w:tr>
      <w:tr>
        <w:tc>
          <w:tcPr>
            <w:tcW w:type="dxa" w:w="280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P3/P4 Auto-Resolution</w:t>
            </w:r>
          </w:p>
        </w:tc>
        <w:tc>
          <w:tcPr>
            <w:tcW w:type="dxa" w:w="1685"/>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&lt; 10%</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&gt; 74%</w:t>
            </w:r>
          </w:p>
        </w:tc>
        <w:tc>
          <w:tcPr>
            <w:tcW w:type="dxa" w:w="149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7×</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Ops Cost</w:t>
            </w:r>
          </w:p>
        </w:tc>
      </w:tr>
      <w:tr>
        <w:tc>
          <w:tcPr>
            <w:tcW w:type="dxa" w:w="280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Regression Cycle Time</w:t>
            </w:r>
          </w:p>
        </w:tc>
        <w:tc>
          <w:tcPr>
            <w:tcW w:type="dxa" w:w="1685"/>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Multi-day</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70% Faster</w:t>
            </w:r>
          </w:p>
        </w:tc>
        <w:tc>
          <w:tcPr>
            <w:tcW w:type="dxa" w:w="149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Automated</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Velocity</w:t>
            </w:r>
          </w:p>
        </w:tc>
      </w:tr>
      <w:tr>
        <w:tc>
          <w:tcPr>
            <w:tcW w:type="dxa" w:w="280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Alert Noise per Shift</w:t>
            </w:r>
          </w:p>
        </w:tc>
        <w:tc>
          <w:tcPr>
            <w:tcW w:type="dxa" w:w="1685"/>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Unfiltered</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&gt; 60% Reduced</w:t>
            </w:r>
          </w:p>
        </w:tc>
        <w:tc>
          <w:tcPr>
            <w:tcW w:type="dxa" w:w="149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AI-filtered</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Ops Team</w:t>
            </w:r>
          </w:p>
        </w:tc>
      </w:tr>
      <w:tr>
        <w:tc>
          <w:tcPr>
            <w:tcW w:type="dxa" w:w="280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Enrollment Error Tickets</w:t>
            </w:r>
          </w:p>
        </w:tc>
        <w:tc>
          <w:tcPr>
            <w:tcW w:type="dxa" w:w="1685"/>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High / Reactive</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~110/mo saved</w:t>
            </w:r>
          </w:p>
        </w:tc>
        <w:tc>
          <w:tcPr>
            <w:tcW w:type="dxa" w:w="1498"/>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Zero-touch</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Members</w:t>
            </w:r>
          </w:p>
        </w:tc>
      </w:tr>
      <w:tr>
        <w:tc>
          <w:tcPr>
            <w:tcW w:type="dxa" w:w="280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System Availability</w:t>
            </w:r>
          </w:p>
        </w:tc>
        <w:tc>
          <w:tcPr>
            <w:tcW w:type="dxa" w:w="1685"/>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~99.7%</w:t>
            </w:r>
          </w:p>
        </w:tc>
        <w:tc>
          <w:tcPr>
            <w:tcW w:type="dxa" w:w="2059"/>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99.9%+</w:t>
            </w:r>
          </w:p>
        </w:tc>
        <w:tc>
          <w:tcPr>
            <w:tcW w:type="dxa" w:w="1498"/>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 AI-ops</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Everyone</w:t>
            </w:r>
          </w:p>
        </w:tc>
      </w:tr>
    </w:tbl>
    <w:p>
      <w:pPr>
        <w:sectPr>
          <w:headerReference w:type="default" r:id="rId11"/>
          <w:footerReference w:type="default" r:id="rId12"/>
          <w:type w:val="continuous"/>
          <w:pgSz w:w="11906" w:h="16838" w:orient="portrait"/>
          <w:pgMar w:top="1080" w:right="1224" w:bottom="863" w:left="1224" w:header="708" w:footer="708" w:gutter="0"/>
          <w:pgNumType/>
          <w:cols w:num="1"/>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02  </w:t>
      </w:r>
      <w:r>
        <w:rPr>
          <w:rFonts w:ascii="Calibri" w:cs="Calibri" w:eastAsia="Calibri" w:hAnsi="Calibri"/>
          <w:b/>
          <w:bCs/>
          <w:i w:val="false"/>
          <w:iCs w:val="false"/>
          <w:color w:val="001141"/>
          <w:sz w:val="30"/>
          <w:szCs w:val="30"/>
        </w:rPr>
        <w:t xml:space="preserve">CareOps360 Command Center</w:t>
      </w:r>
    </w:p>
    <w:p>
      <w:pPr>
        <w:spacing w:after="80" w:before="0"/>
      </w:pPr>
      <w:r>
        <w:rPr>
          <w:rFonts w:ascii="Calibri" w:cs="Calibri" w:eastAsia="Calibri" w:hAnsi="Calibri"/>
          <w:b w:val="false"/>
          <w:bCs w:val="false"/>
          <w:i/>
          <w:iCs/>
          <w:color w:val="8D8D8D"/>
          <w:sz w:val="18"/>
          <w:szCs w:val="18"/>
        </w:rPr>
        <w:t xml:space="preserve">IBM’s Executive Operations Platform for Real-Time AMS Visibility at Horizon</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“Horizon’s leadership should never ask ‘how are we doing?’ and wait for a deck. A child’s enrollment status, a provider’s claim, a member’s prior auth — the answer should be live, accurate, and one click away.”</w:t>
      </w:r>
    </w:p>
    <w:p>
      <w:pPr>
        <w:spacing w:after="80" w:before="0"/>
        <w:jc w:val="right"/>
      </w:pPr>
      <w:r>
        <w:rPr>
          <w:rFonts w:ascii="Calibri" w:cs="Calibri" w:eastAsia="Calibri" w:hAnsi="Calibri"/>
          <w:b/>
          <w:bCs/>
          <w:i w:val="false"/>
          <w:iCs w:val="false"/>
          <w:color w:val="0F62FE"/>
          <w:sz w:val="16"/>
          <w:szCs w:val="16"/>
        </w:rPr>
        <w:t xml:space="preserve">— IBM — Executive Visibility</w:t>
      </w:r>
    </w:p>
    <w:p>
      <w:pPr>
        <w:sectPr>
          <w:headerReference w:type="default" r:id="rId13"/>
          <w:footerReference w:type="default" r:id="rId14"/>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What Is CareOps360?</w:t>
      </w:r>
    </w:p>
    <w:p>
      <w:pPr>
        <w:spacing w:after="80" w:before="0"/>
      </w:pPr>
      <w:r>
        <w:rPr>
          <w:rFonts w:ascii="Calibri" w:cs="Calibri" w:eastAsia="Calibri" w:hAnsi="Calibri"/>
          <w:b w:val="false"/>
          <w:bCs w:val="false"/>
          <w:i w:val="false"/>
          <w:iCs w:val="false"/>
          <w:color w:val="525252"/>
          <w:sz w:val="19"/>
          <w:szCs w:val="19"/>
        </w:rPr>
        <w:t xml:space="preserve">Production-grade executive operations platform purpose-built for Horizon. Real-time intelligence across all AMS towers through a single command center. Architecture-ready for live production data; deployed in production-equivalent environment.</w:t>
      </w:r>
    </w:p>
    <w:p>
      <w:pPr>
        <w:spacing w:after="40" w:before="60"/>
      </w:pPr>
      <w:r>
        <w:rPr>
          <w:rFonts w:ascii="Calibri" w:cs="Calibri" w:eastAsia="Calibri" w:hAnsi="Calibri"/>
          <w:b/>
          <w:bCs/>
          <w:i w:val="false"/>
          <w:iCs w:val="false"/>
          <w:color w:val="001141"/>
          <w:sz w:val="22"/>
          <w:szCs w:val="22"/>
        </w:rPr>
        <w:t xml:space="preserve">Dashboards Delivered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Executive Overview — 8 real-time KPI tiles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Application Health — ~1,000 app inventory, incidents, availability</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Claims Operations — Volume, adjudication queue, denial analytics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Prior Authorization — Backlog, review SLA, approval rates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Enrollment Intelligence — AI-assisted intake, surge detection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Member Services — Contact center, chatbot, digital adoption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IBM AIOps Value — Automation savings, shift-left, self-heal</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Transformation Roadmap — 60-initiative portfolio tracked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Capability Uplift — Certifications, automation, AI readiness</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Metrics Monitored</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144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Domain</w:t>
            </w:r>
          </w:p>
        </w:tc>
        <w:tc>
          <w:tcPr>
            <w:tcW w:type="dxa" w:w="306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What Will Be Tracked</w:t>
            </w:r>
          </w:p>
        </w:tc>
      </w:tr>
      <w:tr>
        <w:tc>
          <w:tcPr>
            <w:tcW w:type="dxa" w:w="144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Application Ops</w:t>
            </w:r>
          </w:p>
        </w:tc>
        <w:tc>
          <w:tcPr>
            <w:tcW w:type="dxa" w:w="306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Availability, MTTR, incident volume by severity</w:t>
            </w:r>
          </w:p>
        </w:tc>
      </w:tr>
      <w:tr>
        <w:tc>
          <w:tcPr>
            <w:tcW w:type="dxa" w:w="144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Claims</w:t>
            </w:r>
          </w:p>
        </w:tc>
        <w:tc>
          <w:tcPr>
            <w:tcW w:type="dxa" w:w="306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Volume, adjudication rate, TAT, denial drivers</w:t>
            </w:r>
          </w:p>
        </w:tc>
      </w:tr>
      <w:tr>
        <w:tc>
          <w:tcPr>
            <w:tcW w:type="dxa" w:w="144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Prior Auth</w:t>
            </w:r>
          </w:p>
        </w:tc>
        <w:tc>
          <w:tcPr>
            <w:tcW w:type="dxa" w:w="306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Backlog, review SLA, auto-approval rate</w:t>
            </w:r>
          </w:p>
        </w:tc>
      </w:tr>
      <w:tr>
        <w:tc>
          <w:tcPr>
            <w:tcW w:type="dxa" w:w="144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Enrollment</w:t>
            </w:r>
          </w:p>
        </w:tc>
        <w:tc>
          <w:tcPr>
            <w:tcW w:type="dxa" w:w="306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Time-to-good, auto-match rate, queue health</w:t>
            </w:r>
          </w:p>
        </w:tc>
      </w:tr>
      <w:tr>
        <w:tc>
          <w:tcPr>
            <w:tcW w:type="dxa" w:w="144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Member Services</w:t>
            </w:r>
          </w:p>
        </w:tc>
        <w:tc>
          <w:tcPr>
            <w:tcW w:type="dxa" w:w="306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ASA, FCR, chatbot containment, digital adoption</w:t>
            </w:r>
          </w:p>
        </w:tc>
      </w:tr>
      <w:tr>
        <w:tc>
          <w:tcPr>
            <w:tcW w:type="dxa" w:w="144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AIOps Value</w:t>
            </w:r>
          </w:p>
        </w:tc>
        <w:tc>
          <w:tcPr>
            <w:tcW w:type="dxa" w:w="306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Savings YTD, shift-left rate, self-heal events</w:t>
            </w:r>
          </w:p>
        </w:tc>
      </w:tr>
      <w:tr>
        <w:tc>
          <w:tcPr>
            <w:tcW w:type="dxa" w:w="144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Transformation</w:t>
            </w:r>
          </w:p>
        </w:tc>
        <w:tc>
          <w:tcPr>
            <w:tcW w:type="dxa" w:w="306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Phase progress, milestone risk, initiative velocity</w:t>
            </w:r>
          </w:p>
        </w:tc>
      </w:tr>
    </w:tbl>
    <w:p>
      <w:pPr>
        <w:spacing w:after="6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Access &amp; Security</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Role-based access: IBM and Horizon executives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Token-authenticated sessions with inactivity timeout</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HIPAA-compliant — no PHI data in the command center</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Architecture-ready for production data integration</w:t>
      </w:r>
    </w:p>
    <w:p>
      <w:pPr>
        <w:spacing w:after="40" w:before="0"/>
      </w:pPr>
      <w:r>
        <w:rPr>
          <w:rFonts w:ascii="Calibri" w:cs="Calibri" w:eastAsia="Calibri" w:hAnsi="Calibri"/>
          <w:sz w:val="8"/>
          <w:szCs w:val="8"/>
        </w:rPr>
        <w:t xml:space="preserve"/>
      </w:r>
    </w:p>
    <w:p>
      <w:pPr>
        <w:spacing w:after="20" w:before="80"/>
      </w:pPr>
      <w:r>
        <w:rPr>
          <w:rFonts w:ascii="Calibri" w:cs="Calibri" w:eastAsia="Calibri" w:hAnsi="Calibri"/>
          <w:b/>
          <w:bCs/>
          <w:i w:val="false"/>
          <w:iCs w:val="false"/>
          <w:color w:val="0F62FE"/>
          <w:sz w:val="20"/>
          <w:szCs w:val="20"/>
        </w:rPr>
        <w:t xml:space="preserve">Portal Credentials (Demo Environment)</w:t>
      </w:r>
    </w:p>
    <w:p>
      <w:pPr>
        <w:spacing w:after="80" w:before="0"/>
      </w:pPr>
      <w:r>
        <w:rPr>
          <w:rFonts w:ascii="Calibri" w:cs="Calibri" w:eastAsia="Calibri" w:hAnsi="Calibri"/>
          <w:b w:val="false"/>
          <w:bCs w:val="false"/>
          <w:i w:val="false"/>
          <w:iCs w:val="false"/>
          <w:color w:val="525252"/>
          <w:sz w:val="18"/>
          <w:szCs w:val="18"/>
        </w:rPr>
        <w:t xml:space="preserve">URL: careops360-ibm.replit.app</w:t>
      </w:r>
    </w:p>
    <w:p>
      <w:pPr>
        <w:spacing w:after="80" w:before="0"/>
      </w:pPr>
      <w:r>
        <w:rPr>
          <w:rFonts w:ascii="Calibri" w:cs="Calibri" w:eastAsia="Calibri" w:hAnsi="Calibri"/>
          <w:b w:val="false"/>
          <w:bCs w:val="false"/>
          <w:i w:val="false"/>
          <w:iCs w:val="false"/>
          <w:color w:val="525252"/>
          <w:sz w:val="18"/>
          <w:szCs w:val="18"/>
        </w:rPr>
        <w:t xml:space="preserve">Login: exec@horizon.com / Horizon&amp;IBM2026</w:t>
      </w:r>
    </w:p>
    <w:p>
      <w:pPr>
        <w:spacing w:after="80" w:before="0"/>
      </w:pPr>
      <w:r>
        <w:rPr>
          <w:rFonts w:ascii="Calibri" w:cs="Calibri" w:eastAsia="Calibri" w:hAnsi="Calibri"/>
          <w:b w:val="false"/>
          <w:bCs w:val="false"/>
          <w:i/>
          <w:iCs/>
          <w:color w:val="8D8D8D"/>
          <w:sz w:val="17"/>
          <w:szCs w:val="17"/>
        </w:rPr>
        <w:t xml:space="preserve">Demo mode only — no live PHI or production data.</w:t>
      </w:r>
    </w:p>
    <w:p>
      <w:pPr>
        <w:sectPr>
          <w:headerReference w:type="default" r:id="rId15"/>
          <w:footerReference w:type="default" r:id="rId16"/>
          <w:type w:val="continuous"/>
          <w:pgSz w:w="11906" w:h="16838" w:orient="portrait"/>
          <w:pgMar w:top="1080" w:right="1224" w:bottom="863" w:left="1224" w:header="708" w:footer="708" w:gutter="0"/>
          <w:pgNumType/>
          <w:cols w:space="431" w:num="2" w:sep="false"/>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03  </w:t>
      </w:r>
      <w:r>
        <w:rPr>
          <w:rFonts w:ascii="Calibri" w:cs="Calibri" w:eastAsia="Calibri" w:hAnsi="Calibri"/>
          <w:b/>
          <w:bCs/>
          <w:i w:val="false"/>
          <w:iCs w:val="false"/>
          <w:color w:val="001141"/>
          <w:sz w:val="30"/>
          <w:szCs w:val="30"/>
        </w:rPr>
        <w:t xml:space="preserve">AIOps &amp; Agentic AI Operations</w:t>
      </w:r>
    </w:p>
    <w:p>
      <w:pPr>
        <w:spacing w:after="80" w:before="0"/>
      </w:pPr>
      <w:r>
        <w:rPr>
          <w:rFonts w:ascii="Calibri" w:cs="Calibri" w:eastAsia="Calibri" w:hAnsi="Calibri"/>
          <w:b w:val="false"/>
          <w:bCs w:val="false"/>
          <w:i/>
          <w:iCs/>
          <w:color w:val="8D8D8D"/>
          <w:sz w:val="18"/>
          <w:szCs w:val="18"/>
        </w:rPr>
        <w:t xml:space="preserve">From Reactive Incident Management to Autonomous, Self-Healing Operations</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“When a claims system fails at 2 AM, the first responder should be an AI agent — not a sleep-deprived engineer. The provider should never know. The member should never feel it. That is zero-touch. That is the standard.”</w:t>
      </w:r>
    </w:p>
    <w:p>
      <w:pPr>
        <w:spacing w:after="80" w:before="0"/>
        <w:jc w:val="right"/>
      </w:pPr>
      <w:r>
        <w:rPr>
          <w:rFonts w:ascii="Calibri" w:cs="Calibri" w:eastAsia="Calibri" w:hAnsi="Calibri"/>
          <w:b/>
          <w:bCs/>
          <w:i w:val="false"/>
          <w:iCs w:val="false"/>
          <w:color w:val="0F62FE"/>
          <w:sz w:val="16"/>
          <w:szCs w:val="16"/>
        </w:rPr>
        <w:t xml:space="preserve">— IBM AIOps</w:t>
      </w:r>
    </w:p>
    <w:p>
      <w:pPr>
        <w:spacing w:after="80" w:before="0"/>
      </w:pPr>
      <w:r>
        <w:rPr>
          <w:rFonts w:ascii="Calibri" w:cs="Calibri" w:eastAsia="Calibri" w:hAnsi="Calibri"/>
          <w:b w:val="false"/>
          <w:bCs w:val="false"/>
          <w:i w:val="false"/>
          <w:iCs w:val="false"/>
          <w:color w:val="525252"/>
          <w:sz w:val="20"/>
          <w:szCs w:val="20"/>
        </w:rPr>
        <w:t xml:space="preserve">IBM’s AIOps framework is built on a multi-agent architecture where specialized AI agents handle distinct responsibilities across the incident lifecycle — from detection through resolution and continuous learning. Built for Horizon’s AWS stack: AgentCore &amp; Bedrock, ElasticSearch, PostgreSQL, ServiceNow, CloudWatch, Splunk.</w:t>
      </w:r>
    </w:p>
    <w:p>
      <w:pPr>
        <w:sectPr>
          <w:headerReference w:type="default" r:id="rId17"/>
          <w:footerReference w:type="default" r:id="rId18"/>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Agent Roles</w:t>
      </w:r>
    </w:p>
    <w:p>
      <w:pPr>
        <w:spacing w:after="20" w:before="80"/>
      </w:pPr>
      <w:r>
        <w:rPr>
          <w:rFonts w:ascii="Calibri" w:cs="Calibri" w:eastAsia="Calibri" w:hAnsi="Calibri"/>
          <w:b/>
          <w:bCs/>
          <w:i w:val="false"/>
          <w:iCs w:val="false"/>
          <w:color w:val="0F62FE"/>
          <w:sz w:val="20"/>
          <w:szCs w:val="20"/>
        </w:rPr>
        <w:t xml:space="preserve">Help Desk Agent</w:t>
      </w:r>
    </w:p>
    <w:p>
      <w:pPr>
        <w:spacing w:after="80" w:before="0"/>
      </w:pPr>
      <w:r>
        <w:rPr>
          <w:rFonts w:ascii="Calibri" w:cs="Calibri" w:eastAsia="Calibri" w:hAnsi="Calibri"/>
          <w:b w:val="false"/>
          <w:bCs w:val="false"/>
          <w:i w:val="false"/>
          <w:iCs w:val="false"/>
          <w:color w:val="525252"/>
          <w:sz w:val="19"/>
          <w:szCs w:val="19"/>
        </w:rPr>
        <w:t xml:space="preserve">Context-aware guidance and automated actions to help users auto-resolve issues before ticket creation.</w:t>
      </w:r>
    </w:p>
    <w:p>
      <w:pPr>
        <w:spacing w:after="20" w:before="80"/>
      </w:pPr>
      <w:r>
        <w:rPr>
          <w:rFonts w:ascii="Calibri" w:cs="Calibri" w:eastAsia="Calibri" w:hAnsi="Calibri"/>
          <w:b/>
          <w:bCs/>
          <w:i w:val="false"/>
          <w:iCs w:val="false"/>
          <w:color w:val="0F62FE"/>
          <w:sz w:val="20"/>
          <w:szCs w:val="20"/>
        </w:rPr>
        <w:t xml:space="preserve">Triage Agent</w:t>
      </w:r>
    </w:p>
    <w:p>
      <w:pPr>
        <w:spacing w:after="80" w:before="0"/>
      </w:pPr>
      <w:r>
        <w:rPr>
          <w:rFonts w:ascii="Calibri" w:cs="Calibri" w:eastAsia="Calibri" w:hAnsi="Calibri"/>
          <w:b w:val="false"/>
          <w:bCs w:val="false"/>
          <w:i w:val="false"/>
          <w:iCs w:val="false"/>
          <w:color w:val="525252"/>
          <w:sz w:val="19"/>
          <w:szCs w:val="19"/>
        </w:rPr>
        <w:t xml:space="preserve">Prioritizes tickets based on impact, urgency, and historical patterns — eliminating manual queue management.</w:t>
      </w:r>
    </w:p>
    <w:p>
      <w:pPr>
        <w:spacing w:after="20" w:before="80"/>
      </w:pPr>
      <w:r>
        <w:rPr>
          <w:rFonts w:ascii="Calibri" w:cs="Calibri" w:eastAsia="Calibri" w:hAnsi="Calibri"/>
          <w:b/>
          <w:bCs/>
          <w:i w:val="false"/>
          <w:iCs w:val="false"/>
          <w:color w:val="0F62FE"/>
          <w:sz w:val="20"/>
          <w:szCs w:val="20"/>
        </w:rPr>
        <w:t xml:space="preserve">Root Cause Analysis Agent</w:t>
      </w:r>
    </w:p>
    <w:p>
      <w:pPr>
        <w:spacing w:after="80" w:before="0"/>
      </w:pPr>
      <w:r>
        <w:rPr>
          <w:rFonts w:ascii="Calibri" w:cs="Calibri" w:eastAsia="Calibri" w:hAnsi="Calibri"/>
          <w:b w:val="false"/>
          <w:bCs w:val="false"/>
          <w:i w:val="false"/>
          <w:iCs w:val="false"/>
          <w:color w:val="525252"/>
          <w:sz w:val="19"/>
          <w:szCs w:val="19"/>
        </w:rPr>
        <w:t xml:space="preserve">Correlates signals across 140+ monitoring sources to identify root cause within minutes.</w:t>
      </w:r>
    </w:p>
    <w:p>
      <w:r>
        <w:rPr>
          <w:rFonts w:ascii="Calibri" w:cs="Calibri" w:eastAsia="Calibri" w:hAnsi="Calibri"/>
          <w:sz w:val="4"/>
          <w:szCs w:val="4"/>
        </w:rPr>
        <w:r>
          <w:br w:type="column"/>
        </w:r>
      </w:r>
    </w:p>
    <w:p>
      <w:pPr>
        <w:spacing w:after="20" w:before="80"/>
      </w:pPr>
      <w:r>
        <w:rPr>
          <w:rFonts w:ascii="Calibri" w:cs="Calibri" w:eastAsia="Calibri" w:hAnsi="Calibri"/>
          <w:b/>
          <w:bCs/>
          <w:i w:val="false"/>
          <w:iCs w:val="false"/>
          <w:color w:val="0F62FE"/>
          <w:sz w:val="20"/>
          <w:szCs w:val="20"/>
        </w:rPr>
        <w:t xml:space="preserve">Resolution Agent</w:t>
      </w:r>
    </w:p>
    <w:p>
      <w:pPr>
        <w:spacing w:after="80" w:before="0"/>
      </w:pPr>
      <w:r>
        <w:rPr>
          <w:rFonts w:ascii="Calibri" w:cs="Calibri" w:eastAsia="Calibri" w:hAnsi="Calibri"/>
          <w:b w:val="false"/>
          <w:bCs w:val="false"/>
          <w:i w:val="false"/>
          <w:iCs w:val="false"/>
          <w:color w:val="525252"/>
          <w:sz w:val="19"/>
          <w:szCs w:val="19"/>
        </w:rPr>
        <w:t xml:space="preserve">Suggests or executes remediation steps based on runbooks and past resolutions. &gt;74% of P3/P4 auto-resolved.</w:t>
      </w:r>
    </w:p>
    <w:p>
      <w:pPr>
        <w:spacing w:after="20" w:before="80"/>
      </w:pPr>
      <w:r>
        <w:rPr>
          <w:rFonts w:ascii="Calibri" w:cs="Calibri" w:eastAsia="Calibri" w:hAnsi="Calibri"/>
          <w:b/>
          <w:bCs/>
          <w:i w:val="false"/>
          <w:iCs w:val="false"/>
          <w:color w:val="0F62FE"/>
          <w:sz w:val="20"/>
          <w:szCs w:val="20"/>
        </w:rPr>
        <w:t xml:space="preserve">Runbook Generation Agent</w:t>
      </w:r>
    </w:p>
    <w:p>
      <w:pPr>
        <w:spacing w:after="80" w:before="0"/>
      </w:pPr>
      <w:r>
        <w:rPr>
          <w:rFonts w:ascii="Calibri" w:cs="Calibri" w:eastAsia="Calibri" w:hAnsi="Calibri"/>
          <w:b w:val="false"/>
          <w:bCs w:val="false"/>
          <w:i w:val="false"/>
          <w:iCs w:val="false"/>
          <w:color w:val="525252"/>
          <w:sz w:val="19"/>
          <w:szCs w:val="19"/>
        </w:rPr>
        <w:t xml:space="preserve">Auto-generates and updates runbooks from resolved incidents — compounding operational knowledge over time.</w:t>
      </w:r>
    </w:p>
    <w:p>
      <w:pPr>
        <w:spacing w:after="20" w:before="80"/>
      </w:pPr>
      <w:r>
        <w:rPr>
          <w:rFonts w:ascii="Calibri" w:cs="Calibri" w:eastAsia="Calibri" w:hAnsi="Calibri"/>
          <w:b/>
          <w:bCs/>
          <w:i w:val="false"/>
          <w:iCs w:val="false"/>
          <w:color w:val="0F62FE"/>
          <w:sz w:val="20"/>
          <w:szCs w:val="20"/>
        </w:rPr>
        <w:t xml:space="preserve">Continuous Learning Agent</w:t>
      </w:r>
    </w:p>
    <w:p>
      <w:pPr>
        <w:spacing w:after="80" w:before="0"/>
      </w:pPr>
      <w:r>
        <w:rPr>
          <w:rFonts w:ascii="Calibri" w:cs="Calibri" w:eastAsia="Calibri" w:hAnsi="Calibri"/>
          <w:b w:val="false"/>
          <w:bCs w:val="false"/>
          <w:i w:val="false"/>
          <w:iCs w:val="false"/>
          <w:color w:val="525252"/>
          <w:sz w:val="19"/>
          <w:szCs w:val="19"/>
        </w:rPr>
        <w:t xml:space="preserve">Feeds production telemetry back into all agents. Month 12 is fundamentally smarter than Month 1.</w:t>
      </w:r>
    </w:p>
    <w:p>
      <w:pPr>
        <w:spacing w:after="40" w:before="0"/>
      </w:pPr>
      <w:r>
        <w:rPr>
          <w:rFonts w:ascii="Calibri" w:cs="Calibri" w:eastAsia="Calibri" w:hAnsi="Calibri"/>
          <w:sz w:val="8"/>
          <w:szCs w:val="8"/>
        </w:rPr>
        <w:t xml:space="preserve"/>
      </w:r>
    </w:p>
    <w:p>
      <w:pPr>
        <w:spacing w:after="80" w:before="0"/>
      </w:pPr>
      <w:r>
        <w:rPr>
          <w:rFonts w:ascii="Calibri" w:cs="Calibri" w:eastAsia="Calibri" w:hAnsi="Calibri"/>
          <w:b w:val="false"/>
          <w:bCs w:val="false"/>
          <w:i w:val="false"/>
          <w:iCs w:val="false"/>
          <w:color w:val="198038"/>
          <w:sz w:val="18"/>
          <w:szCs w:val="18"/>
        </w:rPr>
        <w:t xml:space="preserve">✓ Horizon’s ARB Approval  ·  ✓ Horizon’s GenAI Board Approved</w:t>
      </w:r>
    </w:p>
    <w:p>
      <w:pPr>
        <w:sectPr>
          <w:headerReference w:type="default" r:id="rId19"/>
          <w:footerReference w:type="default" r:id="rId20"/>
          <w:type w:val="continuous"/>
          <w:pgSz w:w="11906" w:h="16838" w:orient="portrait"/>
          <w:pgMar w:top="1080" w:right="1224" w:bottom="863" w:left="1224" w:header="708" w:footer="708" w:gutter="0"/>
          <w:pgNumType/>
          <w:cols w:space="431" w:num="2" w:sep="false"/>
          <w:docGrid w:linePitch="360"/>
        </w:sectPr>
      </w:pPr>
    </w:p>
    <w:p>
      <w:pPr>
        <w:spacing w:after="6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Zero-Touch Pipeline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tblGrid>
      <w:tr>
        <w:tc>
          <w:tcPr>
            <w:tcW w:type="dxa" w:w="1872"/>
            <w:tcBorders>
              <w:top w:val="single" w:color="0F62FE" w:sz="14"/>
              <w:left w:val="single" w:color="E0E0E0" w:sz="4"/>
              <w:bottom w:val="single" w:color="E0E0E0" w:sz="4"/>
              <w:right w:val="single" w:color="E0E0E0" w:sz="4"/>
            </w:tcBorders>
            <w:shd w:fill="FFFFFF" w:val="clear"/>
            <w:tcMar>
              <w:top w:type="dxa" w:w="40"/>
              <w:left w:type="dxa" w:w="60"/>
              <w:bottom w:type="dxa" w:w="40"/>
              <w:right w:type="dxa" w:w="60"/>
            </w:tcMar>
          </w:tcPr>
          <w:p>
            <w:pPr>
              <w:spacing w:after="20" w:before="60"/>
              <w:jc w:val="center"/>
            </w:pPr>
            <w:r>
              <w:rPr>
                <w:rFonts w:ascii="Calibri" w:cs="Calibri" w:eastAsia="Calibri" w:hAnsi="Calibri"/>
                <w:b/>
                <w:bCs/>
                <w:i w:val="false"/>
                <w:iCs w:val="false"/>
                <w:color w:val="0F62FE"/>
                <w:sz w:val="14"/>
                <w:szCs w:val="14"/>
              </w:rPr>
              <w:t xml:space="preserve">STEP 1</w:t>
            </w:r>
          </w:p>
          <w:p>
            <w:pPr>
              <w:spacing w:after="40" w:before="0"/>
              <w:jc w:val="center"/>
            </w:pPr>
            <w:r>
              <w:rPr>
                <w:rFonts w:ascii="Calibri" w:cs="Calibri" w:eastAsia="Calibri" w:hAnsi="Calibri"/>
                <w:b/>
                <w:bCs/>
                <w:i w:val="false"/>
                <w:iCs w:val="false"/>
                <w:color w:val="001141"/>
                <w:sz w:val="18"/>
                <w:szCs w:val="18"/>
              </w:rPr>
              <w:t xml:space="preserve">Detect</w:t>
            </w:r>
          </w:p>
          <w:p>
            <w:pPr>
              <w:spacing w:after="20" w:before="0"/>
              <w:jc w:val="center"/>
            </w:pPr>
            <w:r>
              <w:rPr>
                <w:rFonts w:ascii="Calibri" w:cs="Calibri" w:eastAsia="Calibri" w:hAnsi="Calibri"/>
                <w:b w:val="false"/>
                <w:bCs w:val="false"/>
                <w:i w:val="false"/>
                <w:iCs w:val="false"/>
                <w:color w:val="525252"/>
                <w:sz w:val="16"/>
                <w:szCs w:val="16"/>
              </w:rPr>
              <w:t xml:space="preserve">140+ sources</w:t>
            </w:r>
          </w:p>
          <w:p>
            <w:pPr>
              <w:spacing w:after="20" w:before="0"/>
              <w:jc w:val="center"/>
            </w:pPr>
            <w:r>
              <w:rPr>
                <w:rFonts w:ascii="Calibri" w:cs="Calibri" w:eastAsia="Calibri" w:hAnsi="Calibri"/>
                <w:b w:val="false"/>
                <w:bCs w:val="false"/>
                <w:i w:val="false"/>
                <w:iCs w:val="false"/>
                <w:color w:val="525252"/>
                <w:sz w:val="16"/>
                <w:szCs w:val="16"/>
              </w:rPr>
              <w:t xml:space="preserve">Noise &gt;60% cut</w:t>
            </w:r>
          </w:p>
          <w:p>
            <w:pPr>
              <w:spacing w:after="40" w:before="0"/>
            </w:pPr>
            <w:r>
              <w:rPr>
                <w:rFonts w:ascii="Calibri" w:cs="Calibri" w:eastAsia="Calibri" w:hAnsi="Calibri"/>
                <w:sz w:val="8"/>
                <w:szCs w:val="8"/>
              </w:rPr>
              <w:t xml:space="preserve"/>
            </w:r>
          </w:p>
        </w:tc>
        <w:tc>
          <w:tcPr>
            <w:tcW w:type="dxa" w:w="1872"/>
            <w:tcBorders>
              <w:top w:val="single" w:color="0072C3" w:sz="14"/>
              <w:left w:val="single" w:color="E0E0E0" w:sz="4"/>
              <w:bottom w:val="single" w:color="E0E0E0" w:sz="4"/>
              <w:right w:val="single" w:color="E0E0E0" w:sz="4"/>
            </w:tcBorders>
            <w:shd w:fill="FFFFFF" w:val="clear"/>
            <w:tcMar>
              <w:top w:type="dxa" w:w="40"/>
              <w:left w:type="dxa" w:w="60"/>
              <w:bottom w:type="dxa" w:w="40"/>
              <w:right w:type="dxa" w:w="60"/>
            </w:tcMar>
          </w:tcPr>
          <w:p>
            <w:pPr>
              <w:spacing w:after="20" w:before="60"/>
              <w:jc w:val="center"/>
            </w:pPr>
            <w:r>
              <w:rPr>
                <w:rFonts w:ascii="Calibri" w:cs="Calibri" w:eastAsia="Calibri" w:hAnsi="Calibri"/>
                <w:b/>
                <w:bCs/>
                <w:i w:val="false"/>
                <w:iCs w:val="false"/>
                <w:color w:val="0072C3"/>
                <w:sz w:val="14"/>
                <w:szCs w:val="14"/>
              </w:rPr>
              <w:t xml:space="preserve">STEP 2</w:t>
            </w:r>
          </w:p>
          <w:p>
            <w:pPr>
              <w:spacing w:after="40" w:before="0"/>
              <w:jc w:val="center"/>
            </w:pPr>
            <w:r>
              <w:rPr>
                <w:rFonts w:ascii="Calibri" w:cs="Calibri" w:eastAsia="Calibri" w:hAnsi="Calibri"/>
                <w:b/>
                <w:bCs/>
                <w:i w:val="false"/>
                <w:iCs w:val="false"/>
                <w:color w:val="001141"/>
                <w:sz w:val="18"/>
                <w:szCs w:val="18"/>
              </w:rPr>
              <w:t xml:space="preserve">Triage</w:t>
            </w:r>
          </w:p>
          <w:p>
            <w:pPr>
              <w:spacing w:after="20" w:before="0"/>
              <w:jc w:val="center"/>
            </w:pPr>
            <w:r>
              <w:rPr>
                <w:rFonts w:ascii="Calibri" w:cs="Calibri" w:eastAsia="Calibri" w:hAnsi="Calibri"/>
                <w:b w:val="false"/>
                <w:bCs w:val="false"/>
                <w:i w:val="false"/>
                <w:iCs w:val="false"/>
                <w:color w:val="525252"/>
                <w:sz w:val="16"/>
                <w:szCs w:val="16"/>
              </w:rPr>
              <w:t xml:space="preserve">Impact scoring</w:t>
            </w:r>
          </w:p>
          <w:p>
            <w:pPr>
              <w:spacing w:after="20" w:before="0"/>
              <w:jc w:val="center"/>
            </w:pPr>
            <w:r>
              <w:rPr>
                <w:rFonts w:ascii="Calibri" w:cs="Calibri" w:eastAsia="Calibri" w:hAnsi="Calibri"/>
                <w:b w:val="false"/>
                <w:bCs w:val="false"/>
                <w:i w:val="false"/>
                <w:iCs w:val="false"/>
                <w:color w:val="525252"/>
                <w:sz w:val="16"/>
                <w:szCs w:val="16"/>
              </w:rPr>
              <w:t xml:space="preserve">Route instantly</w:t>
            </w:r>
          </w:p>
          <w:p>
            <w:pPr>
              <w:spacing w:after="40" w:before="0"/>
            </w:pPr>
            <w:r>
              <w:rPr>
                <w:rFonts w:ascii="Calibri" w:cs="Calibri" w:eastAsia="Calibri" w:hAnsi="Calibri"/>
                <w:sz w:val="8"/>
                <w:szCs w:val="8"/>
              </w:rPr>
              <w:t xml:space="preserve"/>
            </w:r>
          </w:p>
        </w:tc>
        <w:tc>
          <w:tcPr>
            <w:tcW w:type="dxa" w:w="1872"/>
            <w:tcBorders>
              <w:top w:val="single" w:color="0043CE" w:sz="14"/>
              <w:left w:val="single" w:color="E0E0E0" w:sz="4"/>
              <w:bottom w:val="single" w:color="E0E0E0" w:sz="4"/>
              <w:right w:val="single" w:color="E0E0E0" w:sz="4"/>
            </w:tcBorders>
            <w:shd w:fill="FFFFFF" w:val="clear"/>
            <w:tcMar>
              <w:top w:type="dxa" w:w="40"/>
              <w:left w:type="dxa" w:w="60"/>
              <w:bottom w:type="dxa" w:w="40"/>
              <w:right w:type="dxa" w:w="60"/>
            </w:tcMar>
          </w:tcPr>
          <w:p>
            <w:pPr>
              <w:spacing w:after="20" w:before="60"/>
              <w:jc w:val="center"/>
            </w:pPr>
            <w:r>
              <w:rPr>
                <w:rFonts w:ascii="Calibri" w:cs="Calibri" w:eastAsia="Calibri" w:hAnsi="Calibri"/>
                <w:b/>
                <w:bCs/>
                <w:i w:val="false"/>
                <w:iCs w:val="false"/>
                <w:color w:val="0043CE"/>
                <w:sz w:val="14"/>
                <w:szCs w:val="14"/>
              </w:rPr>
              <w:t xml:space="preserve">STEP 3</w:t>
            </w:r>
          </w:p>
          <w:p>
            <w:pPr>
              <w:spacing w:after="40" w:before="0"/>
              <w:jc w:val="center"/>
            </w:pPr>
            <w:r>
              <w:rPr>
                <w:rFonts w:ascii="Calibri" w:cs="Calibri" w:eastAsia="Calibri" w:hAnsi="Calibri"/>
                <w:b/>
                <w:bCs/>
                <w:i w:val="false"/>
                <w:iCs w:val="false"/>
                <w:color w:val="001141"/>
                <w:sz w:val="18"/>
                <w:szCs w:val="18"/>
              </w:rPr>
              <w:t xml:space="preserve">Diagnose</w:t>
            </w:r>
          </w:p>
          <w:p>
            <w:pPr>
              <w:spacing w:after="20" w:before="0"/>
              <w:jc w:val="center"/>
            </w:pPr>
            <w:r>
              <w:rPr>
                <w:rFonts w:ascii="Calibri" w:cs="Calibri" w:eastAsia="Calibri" w:hAnsi="Calibri"/>
                <w:b w:val="false"/>
                <w:bCs w:val="false"/>
                <w:i w:val="false"/>
                <w:iCs w:val="false"/>
                <w:color w:val="525252"/>
                <w:sz w:val="16"/>
                <w:szCs w:val="16"/>
              </w:rPr>
              <w:t xml:space="preserve">Root cause</w:t>
            </w:r>
          </w:p>
          <w:p>
            <w:pPr>
              <w:spacing w:after="20" w:before="0"/>
              <w:jc w:val="center"/>
            </w:pPr>
            <w:r>
              <w:rPr>
                <w:rFonts w:ascii="Calibri" w:cs="Calibri" w:eastAsia="Calibri" w:hAnsi="Calibri"/>
                <w:b w:val="false"/>
                <w:bCs w:val="false"/>
                <w:i w:val="false"/>
                <w:iCs w:val="false"/>
                <w:color w:val="525252"/>
                <w:sz w:val="16"/>
                <w:szCs w:val="16"/>
              </w:rPr>
              <w:t xml:space="preserve">in minutes</w:t>
            </w:r>
          </w:p>
          <w:p>
            <w:pPr>
              <w:spacing w:after="40" w:before="0"/>
            </w:pPr>
            <w:r>
              <w:rPr>
                <w:rFonts w:ascii="Calibri" w:cs="Calibri" w:eastAsia="Calibri" w:hAnsi="Calibri"/>
                <w:sz w:val="8"/>
                <w:szCs w:val="8"/>
              </w:rPr>
              <w:t xml:space="preserve"/>
            </w:r>
          </w:p>
        </w:tc>
        <w:tc>
          <w:tcPr>
            <w:tcW w:type="dxa" w:w="1872"/>
            <w:tcBorders>
              <w:top w:val="single" w:color="007D79" w:sz="14"/>
              <w:left w:val="single" w:color="E0E0E0" w:sz="4"/>
              <w:bottom w:val="single" w:color="E0E0E0" w:sz="4"/>
              <w:right w:val="single" w:color="E0E0E0" w:sz="4"/>
            </w:tcBorders>
            <w:shd w:fill="FFFFFF" w:val="clear"/>
            <w:tcMar>
              <w:top w:type="dxa" w:w="40"/>
              <w:left w:type="dxa" w:w="60"/>
              <w:bottom w:type="dxa" w:w="40"/>
              <w:right w:type="dxa" w:w="60"/>
            </w:tcMar>
          </w:tcPr>
          <w:p>
            <w:pPr>
              <w:spacing w:after="20" w:before="60"/>
              <w:jc w:val="center"/>
            </w:pPr>
            <w:r>
              <w:rPr>
                <w:rFonts w:ascii="Calibri" w:cs="Calibri" w:eastAsia="Calibri" w:hAnsi="Calibri"/>
                <w:b/>
                <w:bCs/>
                <w:i w:val="false"/>
                <w:iCs w:val="false"/>
                <w:color w:val="007D79"/>
                <w:sz w:val="14"/>
                <w:szCs w:val="14"/>
              </w:rPr>
              <w:t xml:space="preserve">STEP 4</w:t>
            </w:r>
          </w:p>
          <w:p>
            <w:pPr>
              <w:spacing w:after="40" w:before="0"/>
              <w:jc w:val="center"/>
            </w:pPr>
            <w:r>
              <w:rPr>
                <w:rFonts w:ascii="Calibri" w:cs="Calibri" w:eastAsia="Calibri" w:hAnsi="Calibri"/>
                <w:b/>
                <w:bCs/>
                <w:i w:val="false"/>
                <w:iCs w:val="false"/>
                <w:color w:val="001141"/>
                <w:sz w:val="18"/>
                <w:szCs w:val="18"/>
              </w:rPr>
              <w:t xml:space="preserve">Resolve</w:t>
            </w:r>
          </w:p>
          <w:p>
            <w:pPr>
              <w:spacing w:after="20" w:before="0"/>
              <w:jc w:val="center"/>
            </w:pPr>
            <w:r>
              <w:rPr>
                <w:rFonts w:ascii="Calibri" w:cs="Calibri" w:eastAsia="Calibri" w:hAnsi="Calibri"/>
                <w:b w:val="false"/>
                <w:bCs w:val="false"/>
                <w:i w:val="false"/>
                <w:iCs w:val="false"/>
                <w:color w:val="525252"/>
                <w:sz w:val="16"/>
                <w:szCs w:val="16"/>
              </w:rPr>
              <w:t xml:space="preserve">Self-heal P3/P4</w:t>
            </w:r>
          </w:p>
          <w:p>
            <w:pPr>
              <w:spacing w:after="20" w:before="0"/>
              <w:jc w:val="center"/>
            </w:pPr>
            <w:r>
              <w:rPr>
                <w:rFonts w:ascii="Calibri" w:cs="Calibri" w:eastAsia="Calibri" w:hAnsi="Calibri"/>
                <w:b w:val="false"/>
                <w:bCs w:val="false"/>
                <w:i w:val="false"/>
                <w:iCs w:val="false"/>
                <w:color w:val="525252"/>
                <w:sz w:val="16"/>
                <w:szCs w:val="16"/>
              </w:rPr>
              <w:t xml:space="preserve">Zero touch</w:t>
            </w:r>
          </w:p>
          <w:p>
            <w:pPr>
              <w:spacing w:after="40" w:before="0"/>
            </w:pPr>
            <w:r>
              <w:rPr>
                <w:rFonts w:ascii="Calibri" w:cs="Calibri" w:eastAsia="Calibri" w:hAnsi="Calibri"/>
                <w:sz w:val="8"/>
                <w:szCs w:val="8"/>
              </w:rPr>
              <w:t xml:space="preserve"/>
            </w:r>
          </w:p>
        </w:tc>
        <w:tc>
          <w:tcPr>
            <w:tcW w:type="dxa" w:w="1872"/>
            <w:tcBorders>
              <w:top w:val="single" w:color="005D5D" w:sz="14"/>
              <w:left w:val="single" w:color="E0E0E0" w:sz="4"/>
              <w:bottom w:val="single" w:color="E0E0E0" w:sz="4"/>
              <w:right w:val="single" w:color="E0E0E0" w:sz="4"/>
            </w:tcBorders>
            <w:shd w:fill="FFFFFF" w:val="clear"/>
            <w:tcMar>
              <w:top w:type="dxa" w:w="40"/>
              <w:left w:type="dxa" w:w="60"/>
              <w:bottom w:type="dxa" w:w="40"/>
              <w:right w:type="dxa" w:w="60"/>
            </w:tcMar>
          </w:tcPr>
          <w:p>
            <w:pPr>
              <w:spacing w:after="20" w:before="60"/>
              <w:jc w:val="center"/>
            </w:pPr>
            <w:r>
              <w:rPr>
                <w:rFonts w:ascii="Calibri" w:cs="Calibri" w:eastAsia="Calibri" w:hAnsi="Calibri"/>
                <w:b/>
                <w:bCs/>
                <w:i w:val="false"/>
                <w:iCs w:val="false"/>
                <w:color w:val="005D5D"/>
                <w:sz w:val="14"/>
                <w:szCs w:val="14"/>
              </w:rPr>
              <w:t xml:space="preserve">STEP 5</w:t>
            </w:r>
          </w:p>
          <w:p>
            <w:pPr>
              <w:spacing w:after="40" w:before="0"/>
              <w:jc w:val="center"/>
            </w:pPr>
            <w:r>
              <w:rPr>
                <w:rFonts w:ascii="Calibri" w:cs="Calibri" w:eastAsia="Calibri" w:hAnsi="Calibri"/>
                <w:b/>
                <w:bCs/>
                <w:i w:val="false"/>
                <w:iCs w:val="false"/>
                <w:color w:val="001141"/>
                <w:sz w:val="18"/>
                <w:szCs w:val="18"/>
              </w:rPr>
              <w:t xml:space="preserve">Learn</w:t>
            </w:r>
          </w:p>
          <w:p>
            <w:pPr>
              <w:spacing w:after="20" w:before="0"/>
              <w:jc w:val="center"/>
            </w:pPr>
            <w:r>
              <w:rPr>
                <w:rFonts w:ascii="Calibri" w:cs="Calibri" w:eastAsia="Calibri" w:hAnsi="Calibri"/>
                <w:b w:val="false"/>
                <w:bCs w:val="false"/>
                <w:i w:val="false"/>
                <w:iCs w:val="false"/>
                <w:color w:val="525252"/>
                <w:sz w:val="16"/>
                <w:szCs w:val="16"/>
              </w:rPr>
              <w:t xml:space="preserve">Update runbooks</w:t>
            </w:r>
          </w:p>
          <w:p>
            <w:pPr>
              <w:spacing w:after="20" w:before="0"/>
              <w:jc w:val="center"/>
            </w:pPr>
            <w:r>
              <w:rPr>
                <w:rFonts w:ascii="Calibri" w:cs="Calibri" w:eastAsia="Calibri" w:hAnsi="Calibri"/>
                <w:b w:val="false"/>
                <w:bCs w:val="false"/>
                <w:i w:val="false"/>
                <w:iCs w:val="false"/>
                <w:color w:val="525252"/>
                <w:sz w:val="16"/>
                <w:szCs w:val="16"/>
              </w:rPr>
              <w:t xml:space="preserve">Prevent repeat</w:t>
            </w:r>
          </w:p>
          <w:p>
            <w:pPr>
              <w:spacing w:after="40" w:before="0"/>
            </w:pPr>
            <w:r>
              <w:rPr>
                <w:rFonts w:ascii="Calibri" w:cs="Calibri" w:eastAsia="Calibri" w:hAnsi="Calibri"/>
                <w:sz w:val="8"/>
                <w:szCs w:val="8"/>
              </w:rPr>
              <w:t xml:space="preserve"/>
            </w:r>
          </w:p>
        </w:tc>
      </w:tr>
    </w:tbl>
    <w:p>
      <w:pPr>
        <w:spacing w:after="6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Value Realization</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337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Metric</w:t>
            </w:r>
          </w:p>
        </w:tc>
        <w:tc>
          <w:tcPr>
            <w:tcW w:type="dxa" w:w="2621"/>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With AIOps</w:t>
            </w:r>
          </w:p>
        </w:tc>
        <w:tc>
          <w:tcPr>
            <w:tcW w:type="dxa" w:w="337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Who Benefits</w:t>
            </w:r>
          </w:p>
        </w:tc>
      </w:tr>
      <w:tr>
        <w:tc>
          <w:tcPr>
            <w:tcW w:type="dxa" w:w="337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MTTR</w:t>
            </w:r>
          </w:p>
        </w:tc>
        <w:tc>
          <w:tcPr>
            <w:tcW w:type="dxa" w:w="2621"/>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&lt; 1.8 hrs</w:t>
            </w:r>
          </w:p>
        </w:tc>
        <w:tc>
          <w:tcPr>
            <w:tcW w:type="dxa" w:w="337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Every member waiting on a resolution</w:t>
            </w:r>
          </w:p>
        </w:tc>
      </w:tr>
      <w:tr>
        <w:tc>
          <w:tcPr>
            <w:tcW w:type="dxa" w:w="337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Alert Noise per Shift</w:t>
            </w:r>
          </w:p>
        </w:tc>
        <w:tc>
          <w:tcPr>
            <w:tcW w:type="dxa" w:w="2621"/>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&gt; 60% Reduced</w:t>
            </w:r>
          </w:p>
        </w:tc>
        <w:tc>
          <w:tcPr>
            <w:tcW w:type="dxa" w:w="337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Ops teams freed for value work</w:t>
            </w:r>
          </w:p>
        </w:tc>
      </w:tr>
      <w:tr>
        <w:tc>
          <w:tcPr>
            <w:tcW w:type="dxa" w:w="337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P3/P4 Auto-Resolution</w:t>
            </w:r>
          </w:p>
        </w:tc>
        <w:tc>
          <w:tcPr>
            <w:tcW w:type="dxa" w:w="2621"/>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&gt; 74%</w:t>
            </w:r>
          </w:p>
        </w:tc>
        <w:tc>
          <w:tcPr>
            <w:tcW w:type="dxa" w:w="337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Providers who never see the outage</w:t>
            </w:r>
          </w:p>
        </w:tc>
      </w:tr>
      <w:tr>
        <w:tc>
          <w:tcPr>
            <w:tcW w:type="dxa" w:w="337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Change Failure Rate</w:t>
            </w:r>
          </w:p>
        </w:tc>
        <w:tc>
          <w:tcPr>
            <w:tcW w:type="dxa" w:w="2621"/>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40% Reduction</w:t>
            </w:r>
          </w:p>
        </w:tc>
        <w:tc>
          <w:tcPr>
            <w:tcW w:type="dxa" w:w="337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Members protected from regressions</w:t>
            </w:r>
          </w:p>
        </w:tc>
      </w:tr>
      <w:tr>
        <w:tc>
          <w:tcPr>
            <w:tcW w:type="dxa" w:w="337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System Availability</w:t>
            </w:r>
          </w:p>
        </w:tc>
        <w:tc>
          <w:tcPr>
            <w:tcW w:type="dxa" w:w="2621"/>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99.95%</w:t>
            </w:r>
          </w:p>
        </w:tc>
        <w:tc>
          <w:tcPr>
            <w:tcW w:type="dxa" w:w="337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3.7M members relying on uptime</w:t>
            </w:r>
          </w:p>
        </w:tc>
      </w:tr>
      <w:tr>
        <w:tc>
          <w:tcPr>
            <w:tcW w:type="dxa" w:w="337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Manual Triage Hours</w:t>
            </w:r>
          </w:p>
        </w:tc>
        <w:tc>
          <w:tcPr>
            <w:tcW w:type="dxa" w:w="2621"/>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~30% Reduction</w:t>
            </w:r>
          </w:p>
        </w:tc>
        <w:tc>
          <w:tcPr>
            <w:tcW w:type="dxa" w:w="337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Engineers focused on innovation</w:t>
            </w:r>
          </w:p>
        </w:tc>
      </w:tr>
    </w:tbl>
    <w:p>
      <w:pPr>
        <w:sectPr>
          <w:headerReference w:type="default" r:id="rId21"/>
          <w:footerReference w:type="default" r:id="rId22"/>
          <w:type w:val="continuous"/>
          <w:pgSz w:w="11906" w:h="16838" w:orient="portrait"/>
          <w:pgMar w:top="1080" w:right="1224" w:bottom="863" w:left="1224" w:header="708" w:footer="708" w:gutter="0"/>
          <w:pgNumType/>
          <w:cols w:num="1"/>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04  </w:t>
      </w:r>
      <w:r>
        <w:rPr>
          <w:rFonts w:ascii="Calibri" w:cs="Calibri" w:eastAsia="Calibri" w:hAnsi="Calibri"/>
          <w:b/>
          <w:bCs/>
          <w:i w:val="false"/>
          <w:iCs w:val="false"/>
          <w:color w:val="001141"/>
          <w:sz w:val="30"/>
          <w:szCs w:val="30"/>
        </w:rPr>
        <w:t xml:space="preserve">Platform Modernization</w:t>
      </w:r>
    </w:p>
    <w:p>
      <w:pPr>
        <w:spacing w:after="80" w:before="0"/>
      </w:pPr>
      <w:r>
        <w:rPr>
          <w:rFonts w:ascii="Calibri" w:cs="Calibri" w:eastAsia="Calibri" w:hAnsi="Calibri"/>
          <w:b w:val="false"/>
          <w:bCs w:val="false"/>
          <w:i/>
          <w:iCs/>
          <w:color w:val="8D8D8D"/>
          <w:sz w:val="18"/>
          <w:szCs w:val="18"/>
        </w:rPr>
        <w:t xml:space="preserve">Integration Modernization, Mainframe Migration &amp; Application Rationalization</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“A provider should never wait because a batch integration only runs overnight. A member should never be denied because an eligibility rule is trapped in a mainframe subroutine from 1997. Modernization is not a technology program — it is a member experience program.”</w:t>
      </w:r>
    </w:p>
    <w:p>
      <w:pPr>
        <w:spacing w:after="80" w:before="0"/>
        <w:jc w:val="right"/>
      </w:pPr>
      <w:r>
        <w:rPr>
          <w:rFonts w:ascii="Calibri" w:cs="Calibri" w:eastAsia="Calibri" w:hAnsi="Calibri"/>
          <w:b/>
          <w:bCs/>
          <w:i w:val="false"/>
          <w:iCs w:val="false"/>
          <w:color w:val="0F62FE"/>
          <w:sz w:val="16"/>
          <w:szCs w:val="16"/>
        </w:rPr>
        <w:t xml:space="preserve">— IBM Platform Modernization</w:t>
      </w:r>
    </w:p>
    <w:p>
      <w:pPr>
        <w:sectPr>
          <w:headerReference w:type="default" r:id="rId23"/>
          <w:footerReference w:type="default" r:id="rId24"/>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Integration Modernization</w:t>
      </w:r>
    </w:p>
    <w:p>
      <w:pPr>
        <w:spacing w:after="80" w:before="0"/>
      </w:pPr>
      <w:r>
        <w:rPr>
          <w:rFonts w:ascii="Calibri" w:cs="Calibri" w:eastAsia="Calibri" w:hAnsi="Calibri"/>
          <w:b w:val="false"/>
          <w:bCs w:val="false"/>
          <w:i w:val="false"/>
          <w:iCs w:val="false"/>
          <w:color w:val="525252"/>
          <w:sz w:val="19"/>
          <w:szCs w:val="19"/>
        </w:rPr>
        <w:t xml:space="preserve">From point-to-point batch processes to cloud-native, event-driven, real-time integration architecture.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MOM API-First Hub (HLGN-1053) — Real-time, event-driven partner data exchange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Event Streaming — Kafka on AWS MSK replacing batch ETL</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API Gateway Consolidation — AWS API Gateway + IBM API Connect replacing 70+ point-to-point integrations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ODM Cloud-Native (HLGN-1054) — Real-time business rule evaluation</w:t>
      </w:r>
    </w:p>
    <w:p>
      <w:pPr>
        <w:spacing w:after="40" w:before="60"/>
      </w:pPr>
      <w:r>
        <w:rPr>
          <w:rFonts w:ascii="Calibri" w:cs="Calibri" w:eastAsia="Calibri" w:hAnsi="Calibri"/>
          <w:b/>
          <w:bCs/>
          <w:i w:val="false"/>
          <w:iCs w:val="false"/>
          <w:color w:val="001141"/>
          <w:sz w:val="22"/>
          <w:szCs w:val="22"/>
        </w:rPr>
        <w:t xml:space="preserve">Application Rationalization</w:t>
      </w:r>
    </w:p>
    <w:p>
      <w:pPr>
        <w:spacing w:after="80" w:before="0"/>
      </w:pPr>
      <w:r>
        <w:rPr>
          <w:rFonts w:ascii="Calibri" w:cs="Calibri" w:eastAsia="Calibri" w:hAnsi="Calibri"/>
          <w:b w:val="false"/>
          <w:bCs w:val="false"/>
          <w:i w:val="false"/>
          <w:iCs w:val="false"/>
          <w:color w:val="525252"/>
          <w:sz w:val="19"/>
          <w:szCs w:val="19"/>
        </w:rPr>
        <w:t xml:space="preserve">Structured assessment of ~1,000 applications using Texture and IBM accelerators (ICCA) — decommission, consolidation, cloud migration, or AI-augmented modernization.</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Mainframe Modernization</w:t>
      </w:r>
    </w:p>
    <w:p>
      <w:pPr>
        <w:spacing w:after="80" w:before="0"/>
      </w:pPr>
      <w:r>
        <w:rPr>
          <w:rFonts w:ascii="Calibri" w:cs="Calibri" w:eastAsia="Calibri" w:hAnsi="Calibri"/>
          <w:b w:val="false"/>
          <w:bCs w:val="false"/>
          <w:i w:val="false"/>
          <w:iCs w:val="false"/>
          <w:color w:val="525252"/>
          <w:sz w:val="19"/>
          <w:szCs w:val="19"/>
        </w:rPr>
        <w:t xml:space="preserve">Phased, parallel-run migration — API-wrap before rehost, parallel environments until transaction equivalence validated.</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189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Workstream</w:t>
            </w:r>
          </w:p>
        </w:tc>
        <w:tc>
          <w:tcPr>
            <w:tcW w:type="dxa" w:w="261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Approach</w:t>
            </w:r>
          </w:p>
        </w:tc>
      </w:tr>
      <w:tr>
        <w:tc>
          <w:tcPr>
            <w:tcW w:type="dxa" w:w="189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Eligibility Processing</w:t>
            </w:r>
          </w:p>
        </w:tc>
        <w:tc>
          <w:tcPr>
            <w:tcW w:type="dxa" w:w="26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API-wrap → Cloud rehost (Q2–Q4 2026)</w:t>
            </w:r>
          </w:p>
        </w:tc>
      </w:tr>
      <w:tr>
        <w:tc>
          <w:tcPr>
            <w:tcW w:type="dxa" w:w="189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COBOL → Java Pilot</w:t>
            </w:r>
          </w:p>
        </w:tc>
        <w:tc>
          <w:tcPr>
            <w:tcW w:type="dxa" w:w="26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AI-assisted code conversion (Q3 2026)</w:t>
            </w:r>
          </w:p>
        </w:tc>
      </w:tr>
      <w:tr>
        <w:tc>
          <w:tcPr>
            <w:tcW w:type="dxa" w:w="189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Unified Payments</w:t>
            </w:r>
          </w:p>
        </w:tc>
        <w:tc>
          <w:tcPr>
            <w:tcW w:type="dxa" w:w="26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AWS modernization (Q3 2026)</w:t>
            </w:r>
          </w:p>
        </w:tc>
      </w:tr>
      <w:tr>
        <w:tc>
          <w:tcPr>
            <w:tcW w:type="dxa" w:w="189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Claims Engine</w:t>
            </w:r>
          </w:p>
        </w:tc>
        <w:tc>
          <w:tcPr>
            <w:tcW w:type="dxa" w:w="26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Parallel-run cutover (Q1–Q2 2027)</w:t>
            </w:r>
          </w:p>
        </w:tc>
      </w:tr>
      <w:tr>
        <w:tc>
          <w:tcPr>
            <w:tcW w:type="dxa" w:w="189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Member Data Services</w:t>
            </w:r>
          </w:p>
        </w:tc>
        <w:tc>
          <w:tcPr>
            <w:tcW w:type="dxa" w:w="26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Event-driven migration (Q4 2026+)</w:t>
            </w:r>
          </w:p>
        </w:tc>
      </w:tr>
    </w:tbl>
    <w:p>
      <w:pPr>
        <w:spacing w:after="4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Tech Debt Governance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All stacks at n−1 (one behind LTS)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Quarterly version review: IBM + Horizon ARB</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P1 CVEs: emergency patch within 72 hours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Year 1: 25 platform upgrades in flight</w:t>
      </w:r>
    </w:p>
    <w:p>
      <w:pPr>
        <w:sectPr>
          <w:headerReference w:type="default" r:id="rId25"/>
          <w:footerReference w:type="default" r:id="rId26"/>
          <w:type w:val="continuous"/>
          <w:pgSz w:w="11906" w:h="16838" w:orient="portrait"/>
          <w:pgMar w:top="1080" w:right="1224" w:bottom="863" w:left="1224" w:header="708" w:footer="708" w:gutter="0"/>
          <w:pgNumType/>
          <w:cols w:space="431" w:num="2" w:sep="false"/>
          <w:docGrid w:linePitch="360"/>
        </w:sectPr>
      </w:pPr>
    </w:p>
    <w:p>
      <w:pPr>
        <w:spacing w:after="6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0F62FE"/>
                <w:sz w:val="44"/>
                <w:szCs w:val="44"/>
              </w:rPr>
              <w:t xml:space="preserve">~1,000</w:t>
            </w:r>
          </w:p>
          <w:p>
            <w:pPr>
              <w:spacing w:after="100" w:before="0"/>
              <w:jc w:val="center"/>
            </w:pPr>
            <w:r>
              <w:rPr>
                <w:rFonts w:ascii="Calibri" w:cs="Calibri" w:eastAsia="Calibri" w:hAnsi="Calibri"/>
                <w:b/>
                <w:bCs/>
                <w:i w:val="false"/>
                <w:iCs w:val="false"/>
                <w:color w:val="001141"/>
                <w:sz w:val="16"/>
                <w:szCs w:val="16"/>
              </w:rPr>
              <w:t xml:space="preserve">Applications Assessed</w:t>
            </w:r>
          </w:p>
        </w:tc>
        <w:tc>
          <w:tcPr>
            <w:tcW w:type="dxa" w:w="2340"/>
            <w:tcBorders>
              <w:top w:val="single" w:color="0043CE"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0043CE"/>
                <w:sz w:val="44"/>
                <w:szCs w:val="44"/>
              </w:rPr>
              <w:t xml:space="preserve">COBOL→Java</w:t>
            </w:r>
          </w:p>
          <w:p>
            <w:pPr>
              <w:spacing w:after="100" w:before="0"/>
              <w:jc w:val="center"/>
            </w:pPr>
            <w:r>
              <w:rPr>
                <w:rFonts w:ascii="Calibri" w:cs="Calibri" w:eastAsia="Calibri" w:hAnsi="Calibri"/>
                <w:b/>
                <w:bCs/>
                <w:i w:val="false"/>
                <w:iCs w:val="false"/>
                <w:color w:val="001141"/>
                <w:sz w:val="16"/>
                <w:szCs w:val="16"/>
              </w:rPr>
              <w:t xml:space="preserve">AI-Assisted Conversion</w:t>
            </w:r>
          </w:p>
        </w:tc>
        <w:tc>
          <w:tcPr>
            <w:tcW w:type="dxa" w:w="2340"/>
            <w:tcBorders>
              <w:top w:val="single" w:color="007D79"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007D79"/>
                <w:sz w:val="44"/>
                <w:szCs w:val="44"/>
              </w:rPr>
              <w:t xml:space="preserve">n−1/2</w:t>
            </w:r>
          </w:p>
          <w:p>
            <w:pPr>
              <w:spacing w:after="100" w:before="0"/>
              <w:jc w:val="center"/>
            </w:pPr>
            <w:r>
              <w:rPr>
                <w:rFonts w:ascii="Calibri" w:cs="Calibri" w:eastAsia="Calibri" w:hAnsi="Calibri"/>
                <w:b/>
                <w:bCs/>
                <w:i w:val="false"/>
                <w:iCs w:val="false"/>
                <w:color w:val="001141"/>
                <w:sz w:val="16"/>
                <w:szCs w:val="16"/>
              </w:rPr>
              <w:t xml:space="preserve">Stack Version Governance</w:t>
            </w:r>
          </w:p>
        </w:tc>
        <w:tc>
          <w:tcPr>
            <w:tcW w:type="dxa" w:w="2340"/>
            <w:tcBorders>
              <w:top w:val="single" w:color="6929C4"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6929C4"/>
                <w:sz w:val="44"/>
                <w:szCs w:val="44"/>
              </w:rPr>
              <w:t xml:space="preserve">Zero</w:t>
            </w:r>
          </w:p>
          <w:p>
            <w:pPr>
              <w:spacing w:after="100" w:before="0"/>
              <w:jc w:val="center"/>
            </w:pPr>
            <w:r>
              <w:rPr>
                <w:rFonts w:ascii="Calibri" w:cs="Calibri" w:eastAsia="Calibri" w:hAnsi="Calibri"/>
                <w:b/>
                <w:bCs/>
                <w:i w:val="false"/>
                <w:iCs w:val="false"/>
                <w:color w:val="001141"/>
                <w:sz w:val="16"/>
                <w:szCs w:val="16"/>
              </w:rPr>
              <w:t xml:space="preserve">Disruption Commitment</w:t>
            </w:r>
          </w:p>
        </w:tc>
      </w:tr>
    </w:tbl>
    <w:p>
      <w:pPr>
        <w:sectPr>
          <w:headerReference w:type="default" r:id="rId27"/>
          <w:footerReference w:type="default" r:id="rId28"/>
          <w:type w:val="continuous"/>
          <w:pgSz w:w="11906" w:h="16838" w:orient="portrait"/>
          <w:pgMar w:top="1080" w:right="1224" w:bottom="863" w:left="1224" w:header="708" w:footer="708" w:gutter="0"/>
          <w:pgNumType/>
          <w:cols w:num="1"/>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05  </w:t>
      </w:r>
      <w:r>
        <w:rPr>
          <w:rFonts w:ascii="Calibri" w:cs="Calibri" w:eastAsia="Calibri" w:hAnsi="Calibri"/>
          <w:b/>
          <w:bCs/>
          <w:i w:val="false"/>
          <w:iCs w:val="false"/>
          <w:color w:val="001141"/>
          <w:sz w:val="30"/>
          <w:szCs w:val="30"/>
        </w:rPr>
        <w:t xml:space="preserve">Quality Engineering &amp; AI-Augmented Development</w:t>
      </w:r>
    </w:p>
    <w:p>
      <w:pPr>
        <w:spacing w:after="80" w:before="0"/>
      </w:pPr>
      <w:r>
        <w:rPr>
          <w:rFonts w:ascii="Calibri" w:cs="Calibri" w:eastAsia="Calibri" w:hAnsi="Calibri"/>
          <w:b w:val="false"/>
          <w:bCs w:val="false"/>
          <w:i/>
          <w:iCs/>
          <w:color w:val="8D8D8D"/>
          <w:sz w:val="18"/>
          <w:szCs w:val="18"/>
        </w:rPr>
        <w:t xml:space="preserve">Measurable Quality at Every Milestone — Improved with Every Release</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“Every undetected defect in a claims system is a patient who doesn’t get care on time. Every missed test is a provider who submits correctly and gets denied anyway. Quality is not a phase — quality is the promise we make to every member.”</w:t>
      </w:r>
    </w:p>
    <w:p>
      <w:pPr>
        <w:spacing w:after="80" w:before="0"/>
        <w:jc w:val="right"/>
      </w:pPr>
      <w:r>
        <w:rPr>
          <w:rFonts w:ascii="Calibri" w:cs="Calibri" w:eastAsia="Calibri" w:hAnsi="Calibri"/>
          <w:b/>
          <w:bCs/>
          <w:i w:val="false"/>
          <w:iCs w:val="false"/>
          <w:color w:val="0F62FE"/>
          <w:sz w:val="16"/>
          <w:szCs w:val="16"/>
        </w:rPr>
        <w:t xml:space="preserve">— IBM Quality Engineering</w:t>
      </w:r>
    </w:p>
    <w:p>
      <w:pPr>
        <w:sectPr>
          <w:headerReference w:type="default" r:id="rId29"/>
          <w:footerReference w:type="default" r:id="rId30"/>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Self-Improving Quality Framework</w:t>
      </w:r>
    </w:p>
    <w:p>
      <w:pPr>
        <w:spacing w:after="80" w:before="0"/>
      </w:pPr>
      <w:r>
        <w:rPr>
          <w:rFonts w:ascii="Calibri" w:cs="Calibri" w:eastAsia="Calibri" w:hAnsi="Calibri"/>
          <w:b w:val="false"/>
          <w:bCs w:val="false"/>
          <w:i w:val="false"/>
          <w:iCs w:val="false"/>
          <w:color w:val="525252"/>
          <w:sz w:val="19"/>
          <w:szCs w:val="19"/>
        </w:rPr>
        <w:t xml:space="preserve">Closed-loop feedback within CI/CD. Production insights, defect analytics, and automation metrics continuously refine testing across ~1,000 applications.</w:t>
      </w:r>
    </w:p>
    <w:p>
      <w:pPr>
        <w:spacing w:after="40" w:before="60"/>
      </w:pPr>
      <w:r>
        <w:rPr>
          <w:rFonts w:ascii="Calibri" w:cs="Calibri" w:eastAsia="Calibri" w:hAnsi="Calibri"/>
          <w:b/>
          <w:bCs/>
          <w:i w:val="false"/>
          <w:iCs w:val="false"/>
          <w:color w:val="001141"/>
          <w:sz w:val="22"/>
          <w:szCs w:val="22"/>
        </w:rPr>
        <w:t xml:space="preserve">Quality Controls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End-to-end traceability and release readiness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Defect leakage, density, stability metrics (MTTR)</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Automation coverage with KPI-driven governance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AI-driven defect insights and regression optimization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Production telemetry feeding back into test strategy</w:t>
      </w:r>
    </w:p>
    <w:p>
      <w:pPr>
        <w:spacing w:after="40" w:before="60"/>
      </w:pPr>
      <w:r>
        <w:rPr>
          <w:rFonts w:ascii="Calibri" w:cs="Calibri" w:eastAsia="Calibri" w:hAnsi="Calibri"/>
          <w:b/>
          <w:bCs/>
          <w:i w:val="false"/>
          <w:iCs w:val="false"/>
          <w:color w:val="001141"/>
          <w:sz w:val="22"/>
          <w:szCs w:val="22"/>
        </w:rPr>
        <w:t xml:space="preserve">AI-Augmented Development</w:t>
      </w:r>
    </w:p>
    <w:p>
      <w:pPr>
        <w:spacing w:after="20" w:before="80"/>
      </w:pPr>
      <w:r>
        <w:rPr>
          <w:rFonts w:ascii="Calibri" w:cs="Calibri" w:eastAsia="Calibri" w:hAnsi="Calibri"/>
          <w:b/>
          <w:bCs/>
          <w:i w:val="false"/>
          <w:iCs w:val="false"/>
          <w:color w:val="0F62FE"/>
          <w:sz w:val="20"/>
          <w:szCs w:val="20"/>
        </w:rPr>
        <w:t xml:space="preserve">AI-Assisted Development</w:t>
      </w:r>
    </w:p>
    <w:p>
      <w:pPr>
        <w:spacing w:after="80" w:before="0"/>
      </w:pPr>
      <w:r>
        <w:rPr>
          <w:rFonts w:ascii="Calibri" w:cs="Calibri" w:eastAsia="Calibri" w:hAnsi="Calibri"/>
          <w:b w:val="false"/>
          <w:bCs w:val="false"/>
          <w:i w:val="false"/>
          <w:iCs w:val="false"/>
          <w:color w:val="525252"/>
          <w:sz w:val="19"/>
          <w:szCs w:val="19"/>
        </w:rPr>
        <w:t xml:space="preserve">GenAI accelerates code generation, review, documentation. IBM Consulting Advantage accelerators compress time-to-value.</w:t>
      </w:r>
    </w:p>
    <w:p>
      <w:pPr>
        <w:spacing w:after="20" w:before="80"/>
      </w:pPr>
      <w:r>
        <w:rPr>
          <w:rFonts w:ascii="Calibri" w:cs="Calibri" w:eastAsia="Calibri" w:hAnsi="Calibri"/>
          <w:b/>
          <w:bCs/>
          <w:i w:val="false"/>
          <w:iCs w:val="false"/>
          <w:color w:val="0F62FE"/>
          <w:sz w:val="20"/>
          <w:szCs w:val="20"/>
        </w:rPr>
        <w:t xml:space="preserve">DevSecOps Integration</w:t>
      </w:r>
    </w:p>
    <w:p>
      <w:pPr>
        <w:spacing w:after="80" w:before="0"/>
      </w:pPr>
      <w:r>
        <w:rPr>
          <w:rFonts w:ascii="Calibri" w:cs="Calibri" w:eastAsia="Calibri" w:hAnsi="Calibri"/>
          <w:b w:val="false"/>
          <w:bCs w:val="false"/>
          <w:i w:val="false"/>
          <w:iCs w:val="false"/>
          <w:color w:val="525252"/>
          <w:sz w:val="19"/>
          <w:szCs w:val="19"/>
        </w:rPr>
        <w:t xml:space="preserve">Security embedded left into CI/CD. Automated vulnerability scanning. Compliance gates from commit to production.</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Intelligent Test Automation</w:t>
      </w:r>
    </w:p>
    <w:p>
      <w:pPr>
        <w:spacing w:after="80" w:before="0"/>
      </w:pPr>
      <w:r>
        <w:rPr>
          <w:rFonts w:ascii="Calibri" w:cs="Calibri" w:eastAsia="Calibri" w:hAnsi="Calibri"/>
          <w:b w:val="false"/>
          <w:bCs w:val="false"/>
          <w:i w:val="false"/>
          <w:iCs w:val="false"/>
          <w:color w:val="525252"/>
          <w:sz w:val="19"/>
          <w:szCs w:val="19"/>
        </w:rPr>
        <w:t xml:space="preserve">GenAI enables self-generating test cases, automated test maintenance, and continuous validation — dramatically reducing regression testing cost and time.</w:t>
      </w:r>
    </w:p>
    <w:p>
      <w:pPr>
        <w:spacing w:after="40" w:before="0"/>
      </w:pPr>
      <w:r>
        <w:rPr>
          <w:rFonts w:ascii="Calibri" w:cs="Calibri" w:eastAsia="Calibri" w:hAnsi="Calibri"/>
          <w:sz w:val="8"/>
          <w:szCs w:val="8"/>
        </w:rPr>
        <w:t xml:space="preserve"/>
      </w:r>
    </w:p>
    <w:p>
      <w:pPr>
        <w:shd w:fill="EBF2FF" w:val="clear"/>
        <w:spacing w:after="80" w:before="80"/>
        <w:ind w:left="215" w:right="215"/>
      </w:pPr>
      <w:r>
        <w:rPr>
          <w:rFonts w:ascii="Calibri" w:cs="Calibri" w:eastAsia="Calibri" w:hAnsi="Calibri"/>
          <w:b/>
          <w:bCs/>
          <w:i w:val="false"/>
          <w:iCs w:val="false"/>
          <w:color w:val="001141"/>
          <w:sz w:val="19"/>
          <w:szCs w:val="19"/>
        </w:rPr>
        <w:t xml:space="preserve">Target: 80% test automation coverage within 12 months</w:t>
      </w:r>
    </w:p>
    <w:p>
      <w:pPr>
        <w:spacing w:after="4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Coverage Journey</w:t>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1350"/>
            <w:tcBorders>
              <w:top w:val="none" w:color="auto" w:sz="0"/>
              <w:left w:val="none" w:color="auto" w:sz="0"/>
              <w:bottom w:val="none" w:color="auto" w:sz="0"/>
              <w:right w:val="none" w:color="auto" w:sz="0"/>
            </w:tcBorders>
            <w:shd w:fill="FFFFFF" w:val="clear"/>
            <w:tcMar>
              <w:top w:type="dxa" w:w="30"/>
              <w:bottom w:type="dxa" w:w="30"/>
              <w:right w:type="dxa" w:w="60"/>
            </w:tcMar>
            <w:vAlign w:val="center"/>
          </w:tcPr>
          <w:p>
            <w:pPr>
              <w:spacing w:after="0" w:before="0"/>
            </w:pPr>
            <w:r>
              <w:rPr>
                <w:rFonts w:ascii="Calibri" w:cs="Calibri" w:eastAsia="Calibri" w:hAnsi="Calibri"/>
                <w:b w:val="false"/>
                <w:bCs w:val="false"/>
                <w:i w:val="false"/>
                <w:iCs w:val="false"/>
                <w:color w:val="525252"/>
                <w:sz w:val="17"/>
                <w:szCs w:val="17"/>
              </w:rPr>
              <w:t xml:space="preserve">Month 0</w:t>
            </w:r>
          </w:p>
        </w:tc>
        <w:tc>
          <w:tcPr>
            <w:tcW w:type="dxa" w:w="641"/>
            <w:tcBorders>
              <w:top w:val="none" w:color="auto" w:sz="0"/>
              <w:left w:val="none" w:color="auto" w:sz="0"/>
              <w:bottom w:val="none" w:color="auto" w:sz="0"/>
              <w:right w:val="none" w:color="auto" w:sz="0"/>
            </w:tcBorders>
            <w:shd w:fill="8D8D8D" w:val="clear"/>
          </w:tcPr>
          <w:p>
            <w:pPr>
              <w:spacing w:after="0" w:before="0"/>
            </w:pPr>
            <w:r>
              <w:rPr>
                <w:rFonts w:ascii="Calibri" w:cs="Calibri" w:eastAsia="Calibri" w:hAnsi="Calibri"/>
                <w:sz w:val="8"/>
                <w:szCs w:val="8"/>
              </w:rPr>
              <w:t xml:space="preserve"/>
            </w:r>
          </w:p>
        </w:tc>
        <w:tc>
          <w:tcPr>
            <w:tcW w:type="dxa" w:w="1924"/>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85"/>
            <w:tcBorders>
              <w:top w:val="none" w:color="auto" w:sz="0"/>
              <w:left w:val="none" w:color="auto" w:sz="0"/>
              <w:bottom w:val="none" w:color="auto" w:sz="0"/>
              <w:right w:val="none" w:color="auto" w:sz="0"/>
            </w:tcBorders>
            <w:shd w:fill="FFFFFF" w:val="clear"/>
            <w:tcMar>
              <w:top w:type="dxa" w:w="30"/>
              <w:left w:type="dxa" w:w="60"/>
              <w:bottom w:type="dxa" w:w="30"/>
            </w:tcMar>
            <w:vAlign w:val="center"/>
          </w:tcPr>
          <w:p>
            <w:pPr>
              <w:spacing w:after="0" w:before="0"/>
              <w:jc w:val="right"/>
            </w:pPr>
            <w:r>
              <w:rPr>
                <w:rFonts w:ascii="Calibri" w:cs="Calibri" w:eastAsia="Calibri" w:hAnsi="Calibri"/>
                <w:b/>
                <w:bCs/>
                <w:i w:val="false"/>
                <w:iCs w:val="false"/>
                <w:color w:val="8D8D8D"/>
                <w:sz w:val="17"/>
                <w:szCs w:val="17"/>
              </w:rPr>
              <w:t xml:space="preserve">~25%</w:t>
            </w:r>
          </w:p>
        </w:tc>
      </w:tr>
      <w:tr>
        <w:tc>
          <w:tcPr>
            <w:tcW w:type="dxa" w:w="1350"/>
            <w:tcBorders>
              <w:top w:val="none" w:color="auto" w:sz="0"/>
              <w:left w:val="none" w:color="auto" w:sz="0"/>
              <w:bottom w:val="none" w:color="auto" w:sz="0"/>
              <w:right w:val="none" w:color="auto" w:sz="0"/>
            </w:tcBorders>
            <w:shd w:fill="FFFFFF" w:val="clear"/>
            <w:tcMar>
              <w:top w:type="dxa" w:w="30"/>
              <w:bottom w:type="dxa" w:w="30"/>
              <w:right w:type="dxa" w:w="60"/>
            </w:tcMar>
            <w:vAlign w:val="center"/>
          </w:tcPr>
          <w:p>
            <w:pPr>
              <w:spacing w:after="0" w:before="0"/>
            </w:pPr>
            <w:r>
              <w:rPr>
                <w:rFonts w:ascii="Calibri" w:cs="Calibri" w:eastAsia="Calibri" w:hAnsi="Calibri"/>
                <w:b w:val="false"/>
                <w:bCs w:val="false"/>
                <w:i w:val="false"/>
                <w:iCs w:val="false"/>
                <w:color w:val="525252"/>
                <w:sz w:val="17"/>
                <w:szCs w:val="17"/>
              </w:rPr>
              <w:t xml:space="preserve">Month 3</w:t>
            </w:r>
          </w:p>
        </w:tc>
        <w:tc>
          <w:tcPr>
            <w:tcW w:type="dxa" w:w="1154"/>
            <w:tcBorders>
              <w:top w:val="none" w:color="auto" w:sz="0"/>
              <w:left w:val="none" w:color="auto" w:sz="0"/>
              <w:bottom w:val="none" w:color="auto" w:sz="0"/>
              <w:right w:val="none" w:color="auto" w:sz="0"/>
            </w:tcBorders>
            <w:shd w:fill="0072C3" w:val="clear"/>
          </w:tcPr>
          <w:p>
            <w:pPr>
              <w:spacing w:after="0" w:before="0"/>
            </w:pPr>
            <w:r>
              <w:rPr>
                <w:rFonts w:ascii="Calibri" w:cs="Calibri" w:eastAsia="Calibri" w:hAnsi="Calibri"/>
                <w:sz w:val="8"/>
                <w:szCs w:val="8"/>
              </w:rPr>
              <w:t xml:space="preserve"/>
            </w:r>
          </w:p>
        </w:tc>
        <w:tc>
          <w:tcPr>
            <w:tcW w:type="dxa" w:w="1411"/>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85"/>
            <w:tcBorders>
              <w:top w:val="none" w:color="auto" w:sz="0"/>
              <w:left w:val="none" w:color="auto" w:sz="0"/>
              <w:bottom w:val="none" w:color="auto" w:sz="0"/>
              <w:right w:val="none" w:color="auto" w:sz="0"/>
            </w:tcBorders>
            <w:shd w:fill="FFFFFF" w:val="clear"/>
            <w:tcMar>
              <w:top w:type="dxa" w:w="30"/>
              <w:left w:type="dxa" w:w="60"/>
              <w:bottom w:type="dxa" w:w="30"/>
            </w:tcMar>
            <w:vAlign w:val="center"/>
          </w:tcPr>
          <w:p>
            <w:pPr>
              <w:spacing w:after="0" w:before="0"/>
              <w:jc w:val="right"/>
            </w:pPr>
            <w:r>
              <w:rPr>
                <w:rFonts w:ascii="Calibri" w:cs="Calibri" w:eastAsia="Calibri" w:hAnsi="Calibri"/>
                <w:b/>
                <w:bCs/>
                <w:i w:val="false"/>
                <w:iCs w:val="false"/>
                <w:color w:val="0072C3"/>
                <w:sz w:val="17"/>
                <w:szCs w:val="17"/>
              </w:rPr>
              <w:t xml:space="preserve">45%</w:t>
            </w:r>
          </w:p>
        </w:tc>
      </w:tr>
      <w:tr>
        <w:tc>
          <w:tcPr>
            <w:tcW w:type="dxa" w:w="1350"/>
            <w:tcBorders>
              <w:top w:val="none" w:color="auto" w:sz="0"/>
              <w:left w:val="none" w:color="auto" w:sz="0"/>
              <w:bottom w:val="none" w:color="auto" w:sz="0"/>
              <w:right w:val="none" w:color="auto" w:sz="0"/>
            </w:tcBorders>
            <w:shd w:fill="FFFFFF" w:val="clear"/>
            <w:tcMar>
              <w:top w:type="dxa" w:w="30"/>
              <w:bottom w:type="dxa" w:w="30"/>
              <w:right w:type="dxa" w:w="60"/>
            </w:tcMar>
            <w:vAlign w:val="center"/>
          </w:tcPr>
          <w:p>
            <w:pPr>
              <w:spacing w:after="0" w:before="0"/>
            </w:pPr>
            <w:r>
              <w:rPr>
                <w:rFonts w:ascii="Calibri" w:cs="Calibri" w:eastAsia="Calibri" w:hAnsi="Calibri"/>
                <w:b w:val="false"/>
                <w:bCs w:val="false"/>
                <w:i w:val="false"/>
                <w:iCs w:val="false"/>
                <w:color w:val="525252"/>
                <w:sz w:val="17"/>
                <w:szCs w:val="17"/>
              </w:rPr>
              <w:t xml:space="preserve">Month 6</w:t>
            </w:r>
          </w:p>
        </w:tc>
        <w:tc>
          <w:tcPr>
            <w:tcW w:type="dxa" w:w="1411"/>
            <w:tcBorders>
              <w:top w:val="none" w:color="auto" w:sz="0"/>
              <w:left w:val="none" w:color="auto" w:sz="0"/>
              <w:bottom w:val="none" w:color="auto" w:sz="0"/>
              <w:right w:val="none" w:color="auto" w:sz="0"/>
            </w:tcBorders>
            <w:shd w:fill="0043CE" w:val="clear"/>
          </w:tcPr>
          <w:p>
            <w:pPr>
              <w:spacing w:after="0" w:before="0"/>
            </w:pPr>
            <w:r>
              <w:rPr>
                <w:rFonts w:ascii="Calibri" w:cs="Calibri" w:eastAsia="Calibri" w:hAnsi="Calibri"/>
                <w:sz w:val="8"/>
                <w:szCs w:val="8"/>
              </w:rPr>
              <w:t xml:space="preserve"/>
            </w:r>
          </w:p>
        </w:tc>
        <w:tc>
          <w:tcPr>
            <w:tcW w:type="dxa" w:w="1154"/>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85"/>
            <w:tcBorders>
              <w:top w:val="none" w:color="auto" w:sz="0"/>
              <w:left w:val="none" w:color="auto" w:sz="0"/>
              <w:bottom w:val="none" w:color="auto" w:sz="0"/>
              <w:right w:val="none" w:color="auto" w:sz="0"/>
            </w:tcBorders>
            <w:shd w:fill="FFFFFF" w:val="clear"/>
            <w:tcMar>
              <w:top w:type="dxa" w:w="30"/>
              <w:left w:type="dxa" w:w="60"/>
              <w:bottom w:type="dxa" w:w="30"/>
            </w:tcMar>
            <w:vAlign w:val="center"/>
          </w:tcPr>
          <w:p>
            <w:pPr>
              <w:spacing w:after="0" w:before="0"/>
              <w:jc w:val="right"/>
            </w:pPr>
            <w:r>
              <w:rPr>
                <w:rFonts w:ascii="Calibri" w:cs="Calibri" w:eastAsia="Calibri" w:hAnsi="Calibri"/>
                <w:b/>
                <w:bCs/>
                <w:i w:val="false"/>
                <w:iCs w:val="false"/>
                <w:color w:val="0043CE"/>
                <w:sz w:val="17"/>
                <w:szCs w:val="17"/>
              </w:rPr>
              <w:t xml:space="preserve">55%</w:t>
            </w:r>
          </w:p>
        </w:tc>
      </w:tr>
      <w:tr>
        <w:tc>
          <w:tcPr>
            <w:tcW w:type="dxa" w:w="1350"/>
            <w:tcBorders>
              <w:top w:val="none" w:color="auto" w:sz="0"/>
              <w:left w:val="none" w:color="auto" w:sz="0"/>
              <w:bottom w:val="none" w:color="auto" w:sz="0"/>
              <w:right w:val="none" w:color="auto" w:sz="0"/>
            </w:tcBorders>
            <w:shd w:fill="FFFFFF" w:val="clear"/>
            <w:tcMar>
              <w:top w:type="dxa" w:w="30"/>
              <w:bottom w:type="dxa" w:w="30"/>
              <w:right w:type="dxa" w:w="60"/>
            </w:tcMar>
            <w:vAlign w:val="center"/>
          </w:tcPr>
          <w:p>
            <w:pPr>
              <w:spacing w:after="0" w:before="0"/>
            </w:pPr>
            <w:r>
              <w:rPr>
                <w:rFonts w:ascii="Calibri" w:cs="Calibri" w:eastAsia="Calibri" w:hAnsi="Calibri"/>
                <w:b w:val="false"/>
                <w:bCs w:val="false"/>
                <w:i w:val="false"/>
                <w:iCs w:val="false"/>
                <w:color w:val="525252"/>
                <w:sz w:val="17"/>
                <w:szCs w:val="17"/>
              </w:rPr>
              <w:t xml:space="preserve">Month 9</w:t>
            </w:r>
          </w:p>
        </w:tc>
        <w:tc>
          <w:tcPr>
            <w:tcW w:type="dxa" w:w="1847"/>
            <w:tcBorders>
              <w:top w:val="none" w:color="auto" w:sz="0"/>
              <w:left w:val="none" w:color="auto" w:sz="0"/>
              <w:bottom w:val="none" w:color="auto" w:sz="0"/>
              <w:right w:val="none" w:color="auto" w:sz="0"/>
            </w:tcBorders>
            <w:shd w:fill="0F62FE" w:val="clear"/>
          </w:tcPr>
          <w:p>
            <w:pPr>
              <w:spacing w:after="0" w:before="0"/>
            </w:pPr>
            <w:r>
              <w:rPr>
                <w:rFonts w:ascii="Calibri" w:cs="Calibri" w:eastAsia="Calibri" w:hAnsi="Calibri"/>
                <w:sz w:val="8"/>
                <w:szCs w:val="8"/>
              </w:rPr>
              <w:t xml:space="preserve"/>
            </w:r>
          </w:p>
        </w:tc>
        <w:tc>
          <w:tcPr>
            <w:tcW w:type="dxa" w:w="718"/>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85"/>
            <w:tcBorders>
              <w:top w:val="none" w:color="auto" w:sz="0"/>
              <w:left w:val="none" w:color="auto" w:sz="0"/>
              <w:bottom w:val="none" w:color="auto" w:sz="0"/>
              <w:right w:val="none" w:color="auto" w:sz="0"/>
            </w:tcBorders>
            <w:shd w:fill="FFFFFF" w:val="clear"/>
            <w:tcMar>
              <w:top w:type="dxa" w:w="30"/>
              <w:left w:type="dxa" w:w="60"/>
              <w:bottom w:type="dxa" w:w="30"/>
            </w:tcMar>
            <w:vAlign w:val="center"/>
          </w:tcPr>
          <w:p>
            <w:pPr>
              <w:spacing w:after="0" w:before="0"/>
              <w:jc w:val="right"/>
            </w:pPr>
            <w:r>
              <w:rPr>
                <w:rFonts w:ascii="Calibri" w:cs="Calibri" w:eastAsia="Calibri" w:hAnsi="Calibri"/>
                <w:b/>
                <w:bCs/>
                <w:i w:val="false"/>
                <w:iCs w:val="false"/>
                <w:color w:val="0F62FE"/>
                <w:sz w:val="17"/>
                <w:szCs w:val="17"/>
              </w:rPr>
              <w:t xml:space="preserve">72%</w:t>
            </w:r>
          </w:p>
        </w:tc>
      </w:tr>
      <w:tr>
        <w:tc>
          <w:tcPr>
            <w:tcW w:type="dxa" w:w="1350"/>
            <w:tcBorders>
              <w:top w:val="none" w:color="auto" w:sz="0"/>
              <w:left w:val="none" w:color="auto" w:sz="0"/>
              <w:bottom w:val="none" w:color="auto" w:sz="0"/>
              <w:right w:val="none" w:color="auto" w:sz="0"/>
            </w:tcBorders>
            <w:shd w:fill="FFFFFF" w:val="clear"/>
            <w:tcMar>
              <w:top w:type="dxa" w:w="30"/>
              <w:bottom w:type="dxa" w:w="30"/>
              <w:right w:type="dxa" w:w="60"/>
            </w:tcMar>
            <w:vAlign w:val="center"/>
          </w:tcPr>
          <w:p>
            <w:pPr>
              <w:spacing w:after="0" w:before="0"/>
            </w:pPr>
            <w:r>
              <w:rPr>
                <w:rFonts w:ascii="Calibri" w:cs="Calibri" w:eastAsia="Calibri" w:hAnsi="Calibri"/>
                <w:b w:val="false"/>
                <w:bCs w:val="false"/>
                <w:i w:val="false"/>
                <w:iCs w:val="false"/>
                <w:color w:val="525252"/>
                <w:sz w:val="17"/>
                <w:szCs w:val="17"/>
              </w:rPr>
              <w:t xml:space="preserve">Month 12</w:t>
            </w:r>
          </w:p>
        </w:tc>
        <w:tc>
          <w:tcPr>
            <w:tcW w:type="dxa" w:w="2103"/>
            <w:tcBorders>
              <w:top w:val="none" w:color="auto" w:sz="0"/>
              <w:left w:val="none" w:color="auto" w:sz="0"/>
              <w:bottom w:val="none" w:color="auto" w:sz="0"/>
              <w:right w:val="none" w:color="auto" w:sz="0"/>
            </w:tcBorders>
            <w:shd w:fill="001141" w:val="clear"/>
          </w:tcPr>
          <w:p>
            <w:pPr>
              <w:spacing w:after="0" w:before="0"/>
            </w:pPr>
            <w:r>
              <w:rPr>
                <w:rFonts w:ascii="Calibri" w:cs="Calibri" w:eastAsia="Calibri" w:hAnsi="Calibri"/>
                <w:sz w:val="8"/>
                <w:szCs w:val="8"/>
              </w:rPr>
              <w:t xml:space="preserve"/>
            </w:r>
          </w:p>
        </w:tc>
        <w:tc>
          <w:tcPr>
            <w:tcW w:type="dxa" w:w="462"/>
            <w:tcBorders>
              <w:top w:val="none" w:color="auto" w:sz="0"/>
              <w:left w:val="none" w:color="auto" w:sz="0"/>
              <w:bottom w:val="none" w:color="auto" w:sz="0"/>
              <w:right w:val="none" w:color="auto" w:sz="0"/>
            </w:tcBorders>
            <w:shd w:fill="E0E0E0" w:val="clear"/>
          </w:tcPr>
          <w:p>
            <w:pPr>
              <w:spacing w:after="0" w:before="0"/>
            </w:pPr>
            <w:r>
              <w:rPr>
                <w:rFonts w:ascii="Calibri" w:cs="Calibri" w:eastAsia="Calibri" w:hAnsi="Calibri"/>
                <w:sz w:val="8"/>
                <w:szCs w:val="8"/>
              </w:rPr>
              <w:t xml:space="preserve"/>
            </w:r>
          </w:p>
        </w:tc>
        <w:tc>
          <w:tcPr>
            <w:tcW w:type="dxa" w:w="585"/>
            <w:tcBorders>
              <w:top w:val="none" w:color="auto" w:sz="0"/>
              <w:left w:val="none" w:color="auto" w:sz="0"/>
              <w:bottom w:val="none" w:color="auto" w:sz="0"/>
              <w:right w:val="none" w:color="auto" w:sz="0"/>
            </w:tcBorders>
            <w:shd w:fill="FFFFFF" w:val="clear"/>
            <w:tcMar>
              <w:top w:type="dxa" w:w="30"/>
              <w:left w:type="dxa" w:w="60"/>
              <w:bottom w:type="dxa" w:w="30"/>
            </w:tcMar>
            <w:vAlign w:val="center"/>
          </w:tcPr>
          <w:p>
            <w:pPr>
              <w:spacing w:after="0" w:before="0"/>
              <w:jc w:val="right"/>
            </w:pPr>
            <w:r>
              <w:rPr>
                <w:rFonts w:ascii="Calibri" w:cs="Calibri" w:eastAsia="Calibri" w:hAnsi="Calibri"/>
                <w:b/>
                <w:bCs/>
                <w:i w:val="false"/>
                <w:iCs w:val="false"/>
                <w:color w:val="001141"/>
                <w:sz w:val="17"/>
                <w:szCs w:val="17"/>
              </w:rPr>
              <w:t xml:space="preserve">80%+</w:t>
            </w:r>
          </w:p>
        </w:tc>
      </w:tr>
    </w:tbl>
    <w:p>
      <w:pPr>
        <w:sectPr>
          <w:headerReference w:type="default" r:id="rId31"/>
          <w:footerReference w:type="default" r:id="rId32"/>
          <w:type w:val="continuous"/>
          <w:pgSz w:w="11906" w:h="16838" w:orient="portrait"/>
          <w:pgMar w:top="1080" w:right="1224" w:bottom="863" w:left="1224" w:header="708" w:footer="708" w:gutter="0"/>
          <w:pgNumType/>
          <w:cols w:space="431" w:num="2" w:sep="false"/>
          <w:docGrid w:linePitch="360"/>
        </w:sectPr>
      </w:pPr>
    </w:p>
    <w:p>
      <w:pPr>
        <w:spacing w:after="6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Quality Metrics — Before &amp; After</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gridCol w:w="100"/>
        <w:gridCol w:w="100"/>
      </w:tblGrid>
      <w:tr>
        <w:tc>
          <w:tcPr>
            <w:tcW w:type="dxa" w:w="2246"/>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Quality Metric</w:t>
            </w:r>
          </w:p>
        </w:tc>
        <w:tc>
          <w:tcPr>
            <w:tcW w:type="dxa" w:w="131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Current</w:t>
            </w:r>
          </w:p>
        </w:tc>
        <w:tc>
          <w:tcPr>
            <w:tcW w:type="dxa" w:w="1123"/>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6-Mo</w:t>
            </w:r>
          </w:p>
        </w:tc>
        <w:tc>
          <w:tcPr>
            <w:tcW w:type="dxa" w:w="1123"/>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12-Mo</w:t>
            </w:r>
          </w:p>
        </w:tc>
        <w:tc>
          <w:tcPr>
            <w:tcW w:type="dxa" w:w="2246"/>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Method</w:t>
            </w:r>
          </w:p>
        </w:tc>
        <w:tc>
          <w:tcPr>
            <w:tcW w:type="dxa" w:w="131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Who Benefits</w:t>
            </w:r>
          </w:p>
        </w:tc>
      </w:tr>
      <w:tr>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Test Automation</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~25%</w:t>
            </w:r>
          </w:p>
        </w:tc>
        <w:tc>
          <w:tcPr>
            <w:tcW w:type="dxa" w:w="1123"/>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0043CE"/>
                <w:sz w:val="17"/>
                <w:szCs w:val="17"/>
              </w:rPr>
              <w:t xml:space="preserve">55%</w:t>
            </w:r>
          </w:p>
        </w:tc>
        <w:tc>
          <w:tcPr>
            <w:tcW w:type="dxa" w:w="1123"/>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80%+</w:t>
            </w:r>
          </w:p>
        </w:tc>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GenAI self-generating</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Velocity</w:t>
            </w:r>
          </w:p>
        </w:tc>
      </w:tr>
      <w:tr>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Defect Escape</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High</w:t>
            </w:r>
          </w:p>
        </w:tc>
        <w:tc>
          <w:tcPr>
            <w:tcW w:type="dxa" w:w="1123"/>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0043CE"/>
                <w:sz w:val="17"/>
                <w:szCs w:val="17"/>
              </w:rPr>
              <w:t xml:space="preserve">−40%</w:t>
            </w:r>
          </w:p>
        </w:tc>
        <w:tc>
          <w:tcPr>
            <w:tcW w:type="dxa" w:w="1123"/>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−65%</w:t>
            </w:r>
          </w:p>
        </w:tc>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AI defect prediction</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Patients</w:t>
            </w:r>
          </w:p>
        </w:tc>
      </w:tr>
      <w:tr>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Regression Cycle</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Multi-day</w:t>
            </w:r>
          </w:p>
        </w:tc>
        <w:tc>
          <w:tcPr>
            <w:tcW w:type="dxa" w:w="1123"/>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0043CE"/>
                <w:sz w:val="17"/>
                <w:szCs w:val="17"/>
              </w:rPr>
              <w:t xml:space="preserve">50% faster</w:t>
            </w:r>
          </w:p>
        </w:tc>
        <w:tc>
          <w:tcPr>
            <w:tcW w:type="dxa" w:w="1123"/>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70% faster</w:t>
            </w:r>
          </w:p>
        </w:tc>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Intelligent selection</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Providers</w:t>
            </w:r>
          </w:p>
        </w:tc>
      </w:tr>
      <w:tr>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Time to Detect</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&gt; 2 hrs</w:t>
            </w:r>
          </w:p>
        </w:tc>
        <w:tc>
          <w:tcPr>
            <w:tcW w:type="dxa" w:w="1123"/>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0043CE"/>
                <w:sz w:val="17"/>
                <w:szCs w:val="17"/>
              </w:rPr>
              <w:t xml:space="preserve">&lt; 30 min</w:t>
            </w:r>
          </w:p>
        </w:tc>
        <w:tc>
          <w:tcPr>
            <w:tcW w:type="dxa" w:w="1123"/>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&lt; 15 min</w:t>
            </w:r>
          </w:p>
        </w:tc>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AIOps + telemetry</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Members</w:t>
            </w:r>
          </w:p>
        </w:tc>
      </w:tr>
      <w:tr>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AI Test Cases</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&lt; 5%</w:t>
            </w:r>
          </w:p>
        </w:tc>
        <w:tc>
          <w:tcPr>
            <w:tcW w:type="dxa" w:w="1123"/>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0043CE"/>
                <w:sz w:val="17"/>
                <w:szCs w:val="17"/>
              </w:rPr>
              <w:t xml:space="preserve">40%+</w:t>
            </w:r>
          </w:p>
        </w:tc>
        <w:tc>
          <w:tcPr>
            <w:tcW w:type="dxa" w:w="1123"/>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&gt; 70%</w:t>
            </w:r>
          </w:p>
        </w:tc>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Consulting Advantage</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Quality</w:t>
            </w:r>
          </w:p>
        </w:tc>
      </w:tr>
      <w:tr>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Production Incident</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Baseline</w:t>
            </w:r>
          </w:p>
        </w:tc>
        <w:tc>
          <w:tcPr>
            <w:tcW w:type="dxa" w:w="1123"/>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0043CE"/>
                <w:sz w:val="17"/>
                <w:szCs w:val="17"/>
              </w:rPr>
              <w:t xml:space="preserve">−20%</w:t>
            </w:r>
          </w:p>
        </w:tc>
        <w:tc>
          <w:tcPr>
            <w:tcW w:type="dxa" w:w="1123"/>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−40%</w:t>
            </w:r>
          </w:p>
        </w:tc>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Shift-left quality</w:t>
            </w:r>
          </w:p>
        </w:tc>
        <w:tc>
          <w:tcPr>
            <w:tcW w:type="dxa" w:w="131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Everyone</w:t>
            </w:r>
          </w:p>
        </w:tc>
      </w:tr>
      <w:tr>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Critical Leakage</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DA1E28"/>
                <w:sz w:val="17"/>
                <w:szCs w:val="17"/>
              </w:rPr>
              <w:t xml:space="preserve">Quarterly</w:t>
            </w:r>
          </w:p>
        </w:tc>
        <w:tc>
          <w:tcPr>
            <w:tcW w:type="dxa" w:w="1123"/>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val="false"/>
                <w:iCs w:val="false"/>
                <w:color w:val="0043CE"/>
                <w:sz w:val="17"/>
                <w:szCs w:val="17"/>
              </w:rPr>
              <w:t xml:space="preserve">Monthly</w:t>
            </w:r>
          </w:p>
        </w:tc>
        <w:tc>
          <w:tcPr>
            <w:tcW w:type="dxa" w:w="1123"/>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Zero-leakage</w:t>
            </w:r>
          </w:p>
        </w:tc>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E2E traceability</w:t>
            </w:r>
          </w:p>
        </w:tc>
        <w:tc>
          <w:tcPr>
            <w:tcW w:type="dxa" w:w="131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jc w:val="center"/>
            </w:pPr>
            <w:r>
              <w:rPr>
                <w:rFonts w:ascii="Calibri" w:cs="Calibri" w:eastAsia="Calibri" w:hAnsi="Calibri"/>
                <w:b w:val="false"/>
                <w:bCs w:val="false"/>
                <w:i/>
                <w:iCs/>
                <w:color w:val="001141"/>
                <w:sz w:val="17"/>
                <w:szCs w:val="17"/>
              </w:rPr>
              <w:t xml:space="preserve">Trust</w:t>
            </w:r>
          </w:p>
        </w:tc>
      </w:tr>
    </w:tbl>
    <w:p>
      <w:pPr>
        <w:sectPr>
          <w:headerReference w:type="default" r:id="rId33"/>
          <w:footerReference w:type="default" r:id="rId34"/>
          <w:type w:val="continuous"/>
          <w:pgSz w:w="11906" w:h="16838" w:orient="portrait"/>
          <w:pgMar w:top="1080" w:right="1224" w:bottom="863" w:left="1224" w:header="708" w:footer="708" w:gutter="0"/>
          <w:pgNumType/>
          <w:cols w:num="1"/>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06  </w:t>
      </w:r>
      <w:r>
        <w:rPr>
          <w:rFonts w:ascii="Calibri" w:cs="Calibri" w:eastAsia="Calibri" w:hAnsi="Calibri"/>
          <w:b/>
          <w:bCs/>
          <w:i w:val="false"/>
          <w:iCs w:val="false"/>
          <w:color w:val="001141"/>
          <w:sz w:val="30"/>
          <w:szCs w:val="30"/>
        </w:rPr>
        <w:t xml:space="preserve">Claims &amp; Prior Authorization</w:t>
      </w:r>
    </w:p>
    <w:p>
      <w:pPr>
        <w:spacing w:after="80" w:before="0"/>
      </w:pPr>
      <w:r>
        <w:rPr>
          <w:rFonts w:ascii="Calibri" w:cs="Calibri" w:eastAsia="Calibri" w:hAnsi="Calibri"/>
          <w:b w:val="false"/>
          <w:bCs w:val="false"/>
          <w:i/>
          <w:iCs/>
          <w:color w:val="8D8D8D"/>
          <w:sz w:val="18"/>
          <w:szCs w:val="18"/>
        </w:rPr>
        <w:t xml:space="preserve">AI-Augmented Adjudication, Backlog Management, and Denial Reduction at Scale</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“The best technology is invisible to the member. The claim processes correctly. The prior auth comes back in hours, not days. The provider gets paid on time. The family never has to call twice. That is the measure.”</w:t>
      </w:r>
    </w:p>
    <w:p>
      <w:pPr>
        <w:spacing w:after="80" w:before="0"/>
        <w:jc w:val="right"/>
      </w:pPr>
      <w:r>
        <w:rPr>
          <w:rFonts w:ascii="Calibri" w:cs="Calibri" w:eastAsia="Calibri" w:hAnsi="Calibri"/>
          <w:b/>
          <w:bCs/>
          <w:i w:val="false"/>
          <w:iCs w:val="false"/>
          <w:color w:val="0F62FE"/>
          <w:sz w:val="16"/>
          <w:szCs w:val="16"/>
        </w:rPr>
        <w:t xml:space="preserve">— IBM Healthcare Payer Design</w:t>
      </w:r>
    </w:p>
    <w:p>
      <w:pPr>
        <w:sectPr>
          <w:headerReference w:type="default" r:id="rId35"/>
          <w:footerReference w:type="default" r:id="rId36"/>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Claims Operations Intelligence</w:t>
      </w:r>
    </w:p>
    <w:p>
      <w:pPr>
        <w:spacing w:after="80" w:before="0"/>
      </w:pPr>
      <w:r>
        <w:rPr>
          <w:rFonts w:ascii="Calibri" w:cs="Calibri" w:eastAsia="Calibri" w:hAnsi="Calibri"/>
          <w:b w:val="false"/>
          <w:bCs w:val="false"/>
          <w:i w:val="false"/>
          <w:iCs w:val="false"/>
          <w:color w:val="525252"/>
          <w:sz w:val="19"/>
          <w:szCs w:val="19"/>
        </w:rPr>
        <w:t xml:space="preserve">CareOps360 surfaces real-time visibility from receipt through adjudication, settlement, and denial management. No waiting for next-day reporting.</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AI-enhanced auto-adjudication rules engine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Denial pattern analytics — root causes by procedure, eligibility, COB</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Real-time dashboard: volume by LOB, TAT trending, denial drivers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SLA-bound adjudication commitments</w:t>
      </w:r>
    </w:p>
    <w:p>
      <w:pPr>
        <w:spacing w:after="40" w:before="60"/>
      </w:pPr>
      <w:r>
        <w:rPr>
          <w:rFonts w:ascii="Calibri" w:cs="Calibri" w:eastAsia="Calibri" w:hAnsi="Calibri"/>
          <w:b/>
          <w:bCs/>
          <w:i w:val="false"/>
          <w:iCs w:val="false"/>
          <w:color w:val="001141"/>
          <w:sz w:val="22"/>
          <w:szCs w:val="22"/>
        </w:rPr>
        <w:t xml:space="preserve">Claims Metrics Tracked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Claims received daily — volume trend and YoY comparison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Claims in adjudication — queue depth and aging by payer class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Auto-adjudication rate — improvement trajectory over program life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Denial rate by denial code — top-5 reasons tracked monthly</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Average turnaround days — actuals vs. SLA commitment</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Prior Authorization: AI-Assisted Review</w:t>
      </w:r>
    </w:p>
    <w:p>
      <w:pPr>
        <w:spacing w:after="80" w:before="0"/>
      </w:pPr>
      <w:r>
        <w:rPr>
          <w:rFonts w:ascii="Calibri" w:cs="Calibri" w:eastAsia="Calibri" w:hAnsi="Calibri"/>
          <w:b w:val="false"/>
          <w:bCs w:val="false"/>
          <w:i w:val="false"/>
          <w:iCs w:val="false"/>
          <w:color w:val="525252"/>
          <w:sz w:val="19"/>
          <w:szCs w:val="19"/>
        </w:rPr>
        <w:t xml:space="preserve">AI-assisted review tooling to triage and prioritize requests, identify auto-approvable cases, and flag clinically complex cases for expedited human review. When a grandmother waits three weeks for a knee replacement approval, that is a system failure — not a process delay.</w:t>
      </w:r>
    </w:p>
    <w:p>
      <w:pPr>
        <w:spacing w:after="40" w:before="0"/>
      </w:pPr>
      <w:r>
        <w:rPr>
          <w:rFonts w:ascii="Calibri" w:cs="Calibri" w:eastAsia="Calibri" w:hAnsi="Calibri"/>
          <w:sz w:val="8"/>
          <w:szCs w:val="8"/>
        </w:rPr>
        <w:t xml:space="preserve"/>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tblGrid>
      <w:tr>
        <w:tc>
          <w:tcPr>
            <w:tcW w:type="dxa" w:w="225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Prior Auth Metric</w:t>
            </w:r>
          </w:p>
        </w:tc>
        <w:tc>
          <w:tcPr>
            <w:tcW w:type="dxa" w:w="225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Target Direction</w:t>
            </w:r>
          </w:p>
        </w:tc>
      </w:tr>
      <w:tr>
        <w:tc>
          <w:tcPr>
            <w:tcW w:type="dxa" w:w="225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Requests Received Daily</w:t>
            </w:r>
          </w:p>
        </w:tc>
        <w:tc>
          <w:tcPr>
            <w:tcW w:type="dxa" w:w="22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Trend monitored weekly</w:t>
            </w:r>
          </w:p>
        </w:tc>
      </w:tr>
      <w:tr>
        <w:tc>
          <w:tcPr>
            <w:tcW w:type="dxa" w:w="225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Average Review Hours</w:t>
            </w:r>
          </w:p>
        </w:tc>
        <w:tc>
          <w:tcPr>
            <w:tcW w:type="dxa" w:w="22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Reduction target (baseline to agreed)</w:t>
            </w:r>
          </w:p>
        </w:tc>
      </w:tr>
      <w:tr>
        <w:tc>
          <w:tcPr>
            <w:tcW w:type="dxa" w:w="225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Urgent Request SLA</w:t>
            </w:r>
          </w:p>
        </w:tc>
        <w:tc>
          <w:tcPr>
            <w:tcW w:type="dxa" w:w="22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100% within 72-hr regulatory SLA</w:t>
            </w:r>
          </w:p>
        </w:tc>
      </w:tr>
      <w:tr>
        <w:tc>
          <w:tcPr>
            <w:tcW w:type="dxa" w:w="225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Backlog Size</w:t>
            </w:r>
          </w:p>
        </w:tc>
        <w:tc>
          <w:tcPr>
            <w:tcW w:type="dxa" w:w="22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Reduction tracked monthly</w:t>
            </w:r>
          </w:p>
        </w:tc>
      </w:tr>
      <w:tr>
        <w:tc>
          <w:tcPr>
            <w:tcW w:type="dxa" w:w="225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Auto-Approval Rate (low-risk)</w:t>
            </w:r>
          </w:p>
        </w:tc>
        <w:tc>
          <w:tcPr>
            <w:tcW w:type="dxa" w:w="22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&gt;40% by Month 12</w:t>
            </w:r>
          </w:p>
        </w:tc>
      </w:tr>
      <w:tr>
        <w:tc>
          <w:tcPr>
            <w:tcW w:type="dxa" w:w="225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Top Procedure Approval Rates</w:t>
            </w:r>
          </w:p>
        </w:tc>
        <w:tc>
          <w:tcPr>
            <w:tcW w:type="dxa" w:w="22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Category-level variance monitoring</w:t>
            </w:r>
          </w:p>
        </w:tc>
      </w:tr>
    </w:tbl>
    <w:p>
      <w:pPr>
        <w:spacing w:after="40" w:before="0"/>
      </w:pPr>
      <w:r>
        <w:rPr>
          <w:rFonts w:ascii="Calibri" w:cs="Calibri" w:eastAsia="Calibri" w:hAnsi="Calibri"/>
          <w:sz w:val="8"/>
          <w:szCs w:val="8"/>
        </w:rPr>
        <w:t xml:space="preserve"/>
      </w:r>
    </w:p>
    <w:p>
      <w:pPr>
        <w:shd w:fill="EBF2FF" w:val="clear"/>
        <w:spacing w:after="80" w:before="80"/>
        <w:ind w:left="215" w:right="215"/>
      </w:pPr>
      <w:r>
        <w:rPr>
          <w:rFonts w:ascii="Calibri" w:cs="Calibri" w:eastAsia="Calibri" w:hAnsi="Calibri"/>
          <w:b/>
          <w:bCs/>
          <w:i w:val="false"/>
          <w:iCs w:val="false"/>
          <w:color w:val="001141"/>
          <w:sz w:val="19"/>
          <w:szCs w:val="19"/>
        </w:rPr>
        <w:t xml:space="preserve">100% of urgent prior auth resolved within regulatory SLA. AI triage to reduce average review time by 30%+ within 12 months.</w:t>
      </w:r>
    </w:p>
    <w:p>
      <w:pPr>
        <w:sectPr>
          <w:headerReference w:type="default" r:id="rId37"/>
          <w:footerReference w:type="default" r:id="rId38"/>
          <w:type w:val="continuous"/>
          <w:pgSz w:w="11906" w:h="16838" w:orient="portrait"/>
          <w:pgMar w:top="1080" w:right="1224" w:bottom="863" w:left="1224" w:header="708" w:footer="708" w:gutter="0"/>
          <w:pgNumType/>
          <w:cols w:space="431" w:num="2" w:sep="false"/>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07  </w:t>
      </w:r>
      <w:r>
        <w:rPr>
          <w:rFonts w:ascii="Calibri" w:cs="Calibri" w:eastAsia="Calibri" w:hAnsi="Calibri"/>
          <w:b/>
          <w:bCs/>
          <w:i w:val="false"/>
          <w:iCs w:val="false"/>
          <w:color w:val="001141"/>
          <w:sz w:val="30"/>
          <w:szCs w:val="30"/>
        </w:rPr>
        <w:t xml:space="preserve">Enrollment Intelligence &amp; Staff Enablement</w:t>
      </w:r>
    </w:p>
    <w:p>
      <w:pPr>
        <w:spacing w:after="80" w:before="0"/>
      </w:pPr>
      <w:r>
        <w:rPr>
          <w:rFonts w:ascii="Calibri" w:cs="Calibri" w:eastAsia="Calibri" w:hAnsi="Calibri"/>
          <w:b w:val="false"/>
          <w:bCs w:val="false"/>
          <w:i/>
          <w:iCs/>
          <w:color w:val="8D8D8D"/>
          <w:sz w:val="18"/>
          <w:szCs w:val="18"/>
        </w:rPr>
        <w:t xml:space="preserve">AI-Assisted Intake, Surge Management &amp; Workforce Readiness</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“A newborn added to a family plan should not become a three-week administrative odyssey. A seasonal enrollment surge should not overwhelm the pipeline. IBM makes enrollment invisible to the member — and manageable for the team.”</w:t>
      </w:r>
    </w:p>
    <w:p>
      <w:pPr>
        <w:spacing w:after="80" w:before="0"/>
        <w:jc w:val="right"/>
      </w:pPr>
      <w:r>
        <w:rPr>
          <w:rFonts w:ascii="Calibri" w:cs="Calibri" w:eastAsia="Calibri" w:hAnsi="Calibri"/>
          <w:b/>
          <w:bCs/>
          <w:i w:val="false"/>
          <w:iCs w:val="false"/>
          <w:color w:val="0F62FE"/>
          <w:sz w:val="16"/>
          <w:szCs w:val="16"/>
        </w:rPr>
        <w:t xml:space="preserve">— IBM Enrollment Operations</w:t>
      </w:r>
    </w:p>
    <w:p>
      <w:pPr>
        <w:sectPr>
          <w:headerReference w:type="default" r:id="rId39"/>
          <w:footerReference w:type="default" r:id="rId40"/>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HHEE — Enrollment Intelligence</w:t>
      </w:r>
    </w:p>
    <w:p>
      <w:pPr>
        <w:spacing w:after="80" w:before="0"/>
      </w:pPr>
      <w:r>
        <w:rPr>
          <w:rFonts w:ascii="Calibri" w:cs="Calibri" w:eastAsia="Calibri" w:hAnsi="Calibri"/>
          <w:b w:val="false"/>
          <w:bCs w:val="false"/>
          <w:i w:val="false"/>
          <w:iCs w:val="false"/>
          <w:color w:val="525252"/>
          <w:sz w:val="19"/>
          <w:szCs w:val="19"/>
        </w:rPr>
        <w:t xml:space="preserve">Horizon Health Enrollment Exchange transforms reactive batch enrollment into proactive, real-time, AI-augmented operations across all channels and segments.</w:t>
      </w:r>
    </w:p>
    <w:p>
      <w:pPr>
        <w:spacing w:after="20" w:before="80"/>
      </w:pPr>
      <w:r>
        <w:rPr>
          <w:rFonts w:ascii="Calibri" w:cs="Calibri" w:eastAsia="Calibri" w:hAnsi="Calibri"/>
          <w:b/>
          <w:bCs/>
          <w:i w:val="false"/>
          <w:iCs w:val="false"/>
          <w:color w:val="0F62FE"/>
          <w:sz w:val="20"/>
          <w:szCs w:val="20"/>
        </w:rPr>
        <w:t xml:space="preserve">Core Capabilities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Canonical 834 Transformation — All channels to Horizon 834 at intake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Real-Time Validation — Errors caught in minutes, not hours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Shift-Left Member Mastering — COB resolved and HUMI assigned earlier</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Agentic Remediation — Auto-resolved with confidence scoring and RCA</w:t>
      </w:r>
    </w:p>
    <w:p>
      <w:pPr>
        <w:spacing w:after="20" w:before="80"/>
      </w:pPr>
      <w:r>
        <w:rPr>
          <w:rFonts w:ascii="Calibri" w:cs="Calibri" w:eastAsia="Calibri" w:hAnsi="Calibri"/>
          <w:b/>
          <w:bCs/>
          <w:i w:val="false"/>
          <w:iCs w:val="false"/>
          <w:color w:val="0F62FE"/>
          <w:sz w:val="20"/>
          <w:szCs w:val="20"/>
        </w:rPr>
        <w:t xml:space="preserve">Enrollment Metrics Tracked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Time-to-good (intake to validated record)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Auto-match rate: AI eligibility matching accuracy</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Manual intervention rate: % requiring human review</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Records in queue: Real-time depth with aging</w:t>
      </w:r>
    </w:p>
    <w:p>
      <w:pPr>
        <w:spacing w:after="20" w:before="80"/>
      </w:pPr>
      <w:r>
        <w:rPr>
          <w:rFonts w:ascii="Calibri" w:cs="Calibri" w:eastAsia="Calibri" w:hAnsi="Calibri"/>
          <w:b/>
          <w:bCs/>
          <w:i w:val="false"/>
          <w:iCs w:val="false"/>
          <w:color w:val="0F62FE"/>
          <w:sz w:val="20"/>
          <w:szCs w:val="20"/>
        </w:rPr>
        <w:t xml:space="preserve">Surge Protection</w:t>
      </w:r>
    </w:p>
    <w:p>
      <w:pPr>
        <w:spacing w:after="80" w:before="0"/>
      </w:pPr>
      <w:r>
        <w:rPr>
          <w:rFonts w:ascii="Calibri" w:cs="Calibri" w:eastAsia="Calibri" w:hAnsi="Calibri"/>
          <w:b w:val="false"/>
          <w:bCs w:val="false"/>
          <w:i w:val="false"/>
          <w:iCs w:val="false"/>
          <w:color w:val="525252"/>
          <w:sz w:val="19"/>
          <w:szCs w:val="19"/>
        </w:rPr>
        <w:t xml:space="preserve">Surge detection alerts leadership ahead of demand spikes. Capacity modelling with workforce planning and SLA forecasting.</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Staff Enablement &amp; AI Readiness</w:t>
      </w:r>
    </w:p>
    <w:p>
      <w:pPr>
        <w:spacing w:after="80" w:before="0"/>
      </w:pPr>
      <w:r>
        <w:rPr>
          <w:rFonts w:ascii="Calibri" w:cs="Calibri" w:eastAsia="Calibri" w:hAnsi="Calibri"/>
          <w:b w:val="false"/>
          <w:bCs w:val="false"/>
          <w:i w:val="false"/>
          <w:iCs w:val="false"/>
          <w:color w:val="525252"/>
          <w:sz w:val="19"/>
          <w:szCs w:val="19"/>
        </w:rPr>
        <w:t xml:space="preserve">IBM’s people strategy: certify deep expertise in AI, healthcare, and IBM platforms; automate the repeatable so people focus on the complex; redeploy freed capacity toward strategic programs.</w:t>
      </w:r>
    </w:p>
    <w:p>
      <w:pPr>
        <w:spacing w:after="40" w:before="0"/>
      </w:pPr>
      <w:r>
        <w:rPr>
          <w:rFonts w:ascii="Calibri" w:cs="Calibri" w:eastAsia="Calibri" w:hAnsi="Calibri"/>
          <w:sz w:val="8"/>
          <w:szCs w:val="8"/>
        </w:rPr>
        <w:t xml:space="preserve"/>
      </w:r>
    </w:p>
    <w:tbl>
      <w:tblPr>
        <w:tblW w:type="dxa" w:w="450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tblGrid>
      <w:tr>
        <w:tc>
          <w:tcPr>
            <w:tcW w:type="dxa" w:w="180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Capability</w:t>
            </w:r>
          </w:p>
        </w:tc>
        <w:tc>
          <w:tcPr>
            <w:tcW w:type="dxa" w:w="135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Metric</w:t>
            </w:r>
          </w:p>
        </w:tc>
        <w:tc>
          <w:tcPr>
            <w:tcW w:type="dxa" w:w="135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Target</w:t>
            </w:r>
          </w:p>
        </w:tc>
      </w:tr>
      <w:tr>
        <w:tc>
          <w:tcPr>
            <w:tcW w:type="dxa" w:w="180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AI/ML Certifications</w:t>
            </w:r>
          </w:p>
        </w:tc>
        <w:tc>
          <w:tcPr>
            <w:tcW w:type="dxa" w:w="135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Certified professionals</w:t>
            </w:r>
          </w:p>
        </w:tc>
        <w:tc>
          <w:tcPr>
            <w:tcW w:type="dxa" w:w="13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Growth to plan</w:t>
            </w:r>
          </w:p>
        </w:tc>
      </w:tr>
      <w:tr>
        <w:tc>
          <w:tcPr>
            <w:tcW w:type="dxa" w:w="180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Workforce AI-Enabled</w:t>
            </w:r>
          </w:p>
        </w:tc>
        <w:tc>
          <w:tcPr>
            <w:tcW w:type="dxa" w:w="135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 using AI daily</w:t>
            </w:r>
          </w:p>
        </w:tc>
        <w:tc>
          <w:tcPr>
            <w:tcW w:type="dxa" w:w="13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78% by Month 12</w:t>
            </w:r>
          </w:p>
        </w:tc>
      </w:tr>
      <w:tr>
        <w:tc>
          <w:tcPr>
            <w:tcW w:type="dxa" w:w="180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Automation Coverage</w:t>
            </w:r>
          </w:p>
        </w:tc>
        <w:tc>
          <w:tcPr>
            <w:tcW w:type="dxa" w:w="135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 processes automated</w:t>
            </w:r>
          </w:p>
        </w:tc>
        <w:tc>
          <w:tcPr>
            <w:tcW w:type="dxa" w:w="13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91% by Month 12</w:t>
            </w:r>
          </w:p>
        </w:tc>
      </w:tr>
      <w:tr>
        <w:tc>
          <w:tcPr>
            <w:tcW w:type="dxa" w:w="180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FTE Productivity</w:t>
            </w:r>
          </w:p>
        </w:tc>
        <w:tc>
          <w:tcPr>
            <w:tcW w:type="dxa" w:w="1350"/>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Manual effort eliminated</w:t>
            </w:r>
          </w:p>
        </w:tc>
        <w:tc>
          <w:tcPr>
            <w:tcW w:type="dxa" w:w="13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Target agreed</w:t>
            </w:r>
          </w:p>
        </w:tc>
      </w:tr>
      <w:tr>
        <w:tc>
          <w:tcPr>
            <w:tcW w:type="dxa" w:w="180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Auto-Remediation</w:t>
            </w:r>
          </w:p>
        </w:tc>
        <w:tc>
          <w:tcPr>
            <w:tcW w:type="dxa" w:w="1350"/>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Self-heal milestone</w:t>
            </w:r>
          </w:p>
        </w:tc>
        <w:tc>
          <w:tcPr>
            <w:tcW w:type="dxa" w:w="135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0F62FE"/>
                <w:sz w:val="17"/>
                <w:szCs w:val="17"/>
              </w:rPr>
              <w:t xml:space="preserve">Achieved Month 6</w:t>
            </w:r>
          </w:p>
        </w:tc>
      </w:tr>
    </w:tbl>
    <w:p>
      <w:pPr>
        <w:spacing w:after="40" w:before="0"/>
      </w:pPr>
      <w:r>
        <w:rPr>
          <w:rFonts w:ascii="Calibri" w:cs="Calibri" w:eastAsia="Calibri" w:hAnsi="Calibri"/>
          <w:sz w:val="8"/>
          <w:szCs w:val="8"/>
        </w:rPr>
        <w:t xml:space="preserve"/>
      </w:r>
    </w:p>
    <w:p>
      <w:pPr>
        <w:spacing w:after="20" w:before="80"/>
      </w:pPr>
      <w:r>
        <w:rPr>
          <w:rFonts w:ascii="Calibri" w:cs="Calibri" w:eastAsia="Calibri" w:hAnsi="Calibri"/>
          <w:b/>
          <w:bCs/>
          <w:i w:val="false"/>
          <w:iCs w:val="false"/>
          <w:color w:val="0F62FE"/>
          <w:sz w:val="20"/>
          <w:szCs w:val="20"/>
        </w:rPr>
        <w:t xml:space="preserve">IBM Certification Domains at Horizon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AI/ML — model deployment, AIOps, LLM operations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Healthcare &amp; Payer — BCBS models, CMS, HIPAA</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IBM Platform — Consulting Advantage, hybrid cloud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Cloud Engineering — AWS, OpenShift, DevSecOps, SRE</w:t>
      </w:r>
    </w:p>
    <w:p>
      <w:pPr>
        <w:spacing w:after="40" w:before="0"/>
      </w:pPr>
      <w:r>
        <w:rPr>
          <w:rFonts w:ascii="Calibri" w:cs="Calibri" w:eastAsia="Calibri" w:hAnsi="Calibri"/>
          <w:sz w:val="8"/>
          <w:szCs w:val="8"/>
        </w:rPr>
        <w:t xml:space="preserve"/>
      </w:r>
    </w:p>
    <w:p>
      <w:pPr>
        <w:spacing w:after="80" w:before="0"/>
      </w:pPr>
      <w:r>
        <w:rPr>
          <w:rFonts w:ascii="Calibri" w:cs="Calibri" w:eastAsia="Calibri" w:hAnsi="Calibri"/>
          <w:b w:val="false"/>
          <w:bCs w:val="false"/>
          <w:i/>
          <w:iCs/>
          <w:color w:val="8D8D8D"/>
          <w:sz w:val="18"/>
          <w:szCs w:val="18"/>
        </w:rPr>
        <w:t xml:space="preserve">382 certified professionals across AI/ML (307), Healthcare (342), IBM Products (338), and Cloud (250) domains as of April 2026.</w:t>
      </w:r>
    </w:p>
    <w:p>
      <w:pPr>
        <w:sectPr>
          <w:headerReference w:type="default" r:id="rId41"/>
          <w:footerReference w:type="default" r:id="rId42"/>
          <w:type w:val="continuous"/>
          <w:pgSz w:w="11906" w:h="16838" w:orient="portrait"/>
          <w:pgMar w:top="1080" w:right="1224" w:bottom="863" w:left="1224" w:header="708" w:footer="708" w:gutter="0"/>
          <w:pgNumType/>
          <w:cols w:space="431" w:num="2" w:sep="false"/>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08  </w:t>
      </w:r>
      <w:r>
        <w:rPr>
          <w:rFonts w:ascii="Calibri" w:cs="Calibri" w:eastAsia="Calibri" w:hAnsi="Calibri"/>
          <w:b/>
          <w:bCs/>
          <w:i w:val="false"/>
          <w:iCs w:val="false"/>
          <w:color w:val="001141"/>
          <w:sz w:val="30"/>
          <w:szCs w:val="30"/>
        </w:rPr>
        <w:t xml:space="preserve">Phased Transformation Roadmap</w:t>
      </w:r>
    </w:p>
    <w:p>
      <w:pPr>
        <w:spacing w:after="80" w:before="0"/>
      </w:pPr>
      <w:r>
        <w:rPr>
          <w:rFonts w:ascii="Calibri" w:cs="Calibri" w:eastAsia="Calibri" w:hAnsi="Calibri"/>
          <w:b w:val="false"/>
          <w:bCs w:val="false"/>
          <w:i/>
          <w:iCs/>
          <w:color w:val="8D8D8D"/>
          <w:sz w:val="18"/>
          <w:szCs w:val="18"/>
        </w:rPr>
        <w:t xml:space="preserve">A Structured, Compounding Journey from Stabilization to Autonomous Operations</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“Every day a claim processes faster, a prior auth returns sooner, or an outage resolves before a provider notices — that is a day Horizon’s members experience the difference. That starts in Week 1, not Year 2.”</w:t>
      </w:r>
    </w:p>
    <w:p>
      <w:pPr>
        <w:spacing w:after="80" w:before="0"/>
        <w:jc w:val="right"/>
      </w:pPr>
      <w:r>
        <w:rPr>
          <w:rFonts w:ascii="Calibri" w:cs="Calibri" w:eastAsia="Calibri" w:hAnsi="Calibri"/>
          <w:b/>
          <w:bCs/>
          <w:i w:val="false"/>
          <w:iCs w:val="false"/>
          <w:color w:val="0F62FE"/>
          <w:sz w:val="16"/>
          <w:szCs w:val="16"/>
        </w:rPr>
        <w:t xml:space="preserve">— IBM Delivery Governance</w:t>
      </w:r>
    </w:p>
    <w:p>
      <w:pPr>
        <w:spacing w:after="80" w:before="0"/>
      </w:pPr>
      <w:r>
        <w:rPr>
          <w:rFonts w:ascii="Calibri" w:cs="Calibri" w:eastAsia="Calibri" w:hAnsi="Calibri"/>
          <w:b w:val="false"/>
          <w:bCs w:val="false"/>
          <w:i w:val="false"/>
          <w:iCs w:val="false"/>
          <w:color w:val="525252"/>
          <w:sz w:val="20"/>
          <w:szCs w:val="20"/>
        </w:rPr>
        <w:t xml:space="preserve">Each phase builds on the last, compounding value across the portfolio. Quick wins in the immediate term while building the foundation for long-term enterprise transformation.</w:t>
      </w:r>
    </w:p>
    <w:p>
      <w:pPr>
        <w:sectPr>
          <w:headerReference w:type="default" r:id="rId43"/>
          <w:footerReference w:type="default" r:id="rId44"/>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Phase 0 — Foundation</w:t>
      </w:r>
    </w:p>
    <w:p>
      <w:pPr>
        <w:spacing w:after="80" w:before="0"/>
      </w:pPr>
      <w:r>
        <w:rPr>
          <w:rFonts w:ascii="Calibri" w:cs="Calibri" w:eastAsia="Calibri" w:hAnsi="Calibri"/>
          <w:b w:val="false"/>
          <w:bCs w:val="false"/>
          <w:i w:val="false"/>
          <w:iCs w:val="false"/>
          <w:color w:val="0F62FE"/>
          <w:sz w:val="18"/>
          <w:szCs w:val="18"/>
        </w:rPr>
        <w:t xml:space="preserve">0–8 Weeks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Command Center blueprint and operationalization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ICOE architecture definition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Quote to Card KPI alignment roadmap</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AIOps baseline measurement</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Risk-free transition planning</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AI-assisted Dev + Intelligent QA rollout</w:t>
      </w:r>
    </w:p>
    <w:p>
      <w:pPr>
        <w:spacing w:after="40" w:before="60"/>
      </w:pPr>
      <w:r>
        <w:rPr>
          <w:rFonts w:ascii="Calibri" w:cs="Calibri" w:eastAsia="Calibri" w:hAnsi="Calibri"/>
          <w:b/>
          <w:bCs/>
          <w:i w:val="false"/>
          <w:iCs w:val="false"/>
          <w:color w:val="001141"/>
          <w:sz w:val="22"/>
          <w:szCs w:val="22"/>
        </w:rPr>
        <w:t xml:space="preserve">Phase 1 — Ignite</w:t>
      </w:r>
    </w:p>
    <w:p>
      <w:pPr>
        <w:spacing w:after="80" w:before="0"/>
      </w:pPr>
      <w:r>
        <w:rPr>
          <w:rFonts w:ascii="Calibri" w:cs="Calibri" w:eastAsia="Calibri" w:hAnsi="Calibri"/>
          <w:b w:val="false"/>
          <w:bCs w:val="false"/>
          <w:i w:val="false"/>
          <w:iCs w:val="false"/>
          <w:color w:val="0F62FE"/>
          <w:sz w:val="18"/>
          <w:szCs w:val="18"/>
        </w:rPr>
        <w:t xml:space="preserve">Months 1–3</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Integration Simplification &amp; ICOE Modernization Roadmap</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Document Generation modernization (HLGS)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Initial AIOps and monitoring on production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Test automation framework initiation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Innovation Council formation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GenAI development lifecycle integrated</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Phase 2 — Scale</w:t>
      </w:r>
    </w:p>
    <w:p>
      <w:pPr>
        <w:spacing w:after="80" w:before="0"/>
      </w:pPr>
      <w:r>
        <w:rPr>
          <w:rFonts w:ascii="Calibri" w:cs="Calibri" w:eastAsia="Calibri" w:hAnsi="Calibri"/>
          <w:b w:val="false"/>
          <w:bCs w:val="false"/>
          <w:i w:val="false"/>
          <w:iCs w:val="false"/>
          <w:color w:val="0F62FE"/>
          <w:sz w:val="18"/>
          <w:szCs w:val="18"/>
        </w:rPr>
        <w:t xml:space="preserve">Months 3–6</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Unified Payments &amp; Mainframe modernization initiated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COBOL → Java modernization pilot</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Digital Front Door blueprint</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Agentic AI incident triage live</w:t>
      </w:r>
    </w:p>
    <w:p>
      <w:pPr>
        <w:spacing w:after="40" w:before="60"/>
      </w:pPr>
      <w:r>
        <w:rPr>
          <w:rFonts w:ascii="Calibri" w:cs="Calibri" w:eastAsia="Calibri" w:hAnsi="Calibri"/>
          <w:b/>
          <w:bCs/>
          <w:i w:val="false"/>
          <w:iCs w:val="false"/>
          <w:color w:val="001141"/>
          <w:sz w:val="22"/>
          <w:szCs w:val="22"/>
        </w:rPr>
        <w:t xml:space="preserve">Phase 3 — Optimize</w:t>
      </w:r>
    </w:p>
    <w:p>
      <w:pPr>
        <w:spacing w:after="80" w:before="0"/>
      </w:pPr>
      <w:r>
        <w:rPr>
          <w:rFonts w:ascii="Calibri" w:cs="Calibri" w:eastAsia="Calibri" w:hAnsi="Calibri"/>
          <w:b w:val="false"/>
          <w:bCs w:val="false"/>
          <w:i w:val="false"/>
          <w:iCs w:val="false"/>
          <w:color w:val="0F62FE"/>
          <w:sz w:val="18"/>
          <w:szCs w:val="18"/>
        </w:rPr>
        <w:t xml:space="preserve">Months 6–12</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Agentic AI for full incident autonomy</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Claims adjudication parallel run initiated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Predictive capacity management live</w:t>
      </w:r>
    </w:p>
    <w:p>
      <w:pPr>
        <w:spacing w:after="40" w:before="60"/>
      </w:pPr>
      <w:r>
        <w:rPr>
          <w:rFonts w:ascii="Calibri" w:cs="Calibri" w:eastAsia="Calibri" w:hAnsi="Calibri"/>
          <w:b/>
          <w:bCs/>
          <w:i w:val="false"/>
          <w:iCs w:val="false"/>
          <w:color w:val="001141"/>
          <w:sz w:val="22"/>
          <w:szCs w:val="22"/>
        </w:rPr>
        <w:t xml:space="preserve">Phase 4 — Transform</w:t>
      </w:r>
    </w:p>
    <w:p>
      <w:pPr>
        <w:spacing w:after="80" w:before="0"/>
      </w:pPr>
      <w:r>
        <w:rPr>
          <w:rFonts w:ascii="Calibri" w:cs="Calibri" w:eastAsia="Calibri" w:hAnsi="Calibri"/>
          <w:b w:val="false"/>
          <w:bCs w:val="false"/>
          <w:i w:val="false"/>
          <w:iCs w:val="false"/>
          <w:color w:val="0F62FE"/>
          <w:sz w:val="18"/>
          <w:szCs w:val="18"/>
        </w:rPr>
        <w:t xml:space="preserve">Months 12–24*</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Full autonomous operations for P3/P4 incidents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Mainframe eligibility processing decommissioned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Member Enrollment front door operationalized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COBOL → Java migration complete for most workstreams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Enterprise-wide observability platform fully deployed</w:t>
      </w:r>
    </w:p>
    <w:p>
      <w:pPr>
        <w:spacing w:after="40" w:before="0"/>
      </w:pPr>
      <w:r>
        <w:rPr>
          <w:rFonts w:ascii="Calibri" w:cs="Calibri" w:eastAsia="Calibri" w:hAnsi="Calibri"/>
          <w:b w:val="false"/>
          <w:bCs w:val="false"/>
          <w:i/>
          <w:iCs/>
          <w:color w:val="8D8D8D"/>
          <w:sz w:val="16"/>
          <w:szCs w:val="16"/>
        </w:rPr>
        <w:t xml:space="preserve">*Requires Horizon’s involvement and investment</w:t>
      </w:r>
    </w:p>
    <w:p>
      <w:pPr>
        <w:sectPr>
          <w:headerReference w:type="default" r:id="rId45"/>
          <w:footerReference w:type="default" r:id="rId46"/>
          <w:type w:val="continuous"/>
          <w:pgSz w:w="11906" w:h="16838" w:orient="portrait"/>
          <w:pgMar w:top="1080" w:right="1224" w:bottom="863" w:left="1224" w:header="708" w:footer="708" w:gutter="0"/>
          <w:pgNumType/>
          <w:cols w:space="431" w:num="2" w:sep="false"/>
          <w:docGrid w:linePitch="360"/>
        </w:sectPr>
      </w:pPr>
    </w:p>
    <w:p>
      <w:pPr>
        <w:spacing w:after="60" w:before="0"/>
      </w:pPr>
      <w:r>
        <w:rPr>
          <w:rFonts w:ascii="Calibri" w:cs="Calibri" w:eastAsia="Calibri" w:hAnsi="Calibri"/>
          <w:sz w:val="8"/>
          <w:szCs w:val="8"/>
        </w:rPr>
        <w:t xml:space="preserve"/>
      </w:r>
    </w:p>
    <w:p>
      <w:pPr>
        <w:spacing w:after="40" w:before="40"/>
      </w:pPr>
      <w:r>
        <w:rPr>
          <w:rFonts w:ascii="Calibri" w:cs="Calibri" w:eastAsia="Calibri" w:hAnsi="Calibri"/>
          <w:b/>
          <w:bCs/>
          <w:i w:val="false"/>
          <w:iCs w:val="false"/>
          <w:color w:val="001141"/>
          <w:sz w:val="22"/>
          <w:szCs w:val="22"/>
        </w:rPr>
        <w:t xml:space="preserve">Governance at Every Phase</w:t>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246"/>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Forum</w:t>
            </w:r>
          </w:p>
        </w:tc>
        <w:tc>
          <w:tcPr>
            <w:tcW w:type="dxa" w:w="1310"/>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Cadence</w:t>
            </w:r>
          </w:p>
        </w:tc>
        <w:tc>
          <w:tcPr>
            <w:tcW w:type="dxa" w:w="3557"/>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Focus</w:t>
            </w:r>
          </w:p>
        </w:tc>
        <w:tc>
          <w:tcPr>
            <w:tcW w:type="dxa" w:w="2246"/>
            <w:tcBorders>
              <w:top w:val="single" w:color="0F62FE" w:sz="14"/>
              <w:left w:val="single" w:color="E0E0E0" w:sz="4"/>
              <w:bottom w:val="single" w:color="E0E0E0" w:sz="6"/>
              <w:right w:val="single" w:color="E0E0E0" w:sz="4"/>
            </w:tcBorders>
            <w:shd w:fill="D0E2FF" w:val="clear"/>
            <w:tcMar>
              <w:top w:type="dxa" w:w="30"/>
              <w:left w:type="dxa" w:w="100"/>
              <w:bottom w:type="dxa" w:w="30"/>
              <w:right w:type="dxa" w:w="100"/>
            </w:tcMar>
            <w:vAlign w:val="center"/>
          </w:tcPr>
          <w:p>
            <w:pPr>
              <w:spacing w:after="40" w:before="40"/>
            </w:pPr>
            <w:r>
              <w:rPr>
                <w:rFonts w:ascii="Calibri" w:cs="Calibri" w:eastAsia="Calibri" w:hAnsi="Calibri"/>
                <w:b/>
                <w:bCs/>
                <w:i w:val="false"/>
                <w:iCs w:val="false"/>
                <w:color w:val="001141"/>
                <w:sz w:val="17"/>
                <w:szCs w:val="17"/>
              </w:rPr>
              <w:t xml:space="preserve">Human Impact</w:t>
            </w:r>
          </w:p>
        </w:tc>
      </w:tr>
      <w:tr>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Executive Steering</w:t>
            </w:r>
          </w:p>
        </w:tc>
        <w:tc>
          <w:tcPr>
            <w:tcW w:type="dxa" w:w="131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Quarterly</w:t>
            </w:r>
          </w:p>
        </w:tc>
        <w:tc>
          <w:tcPr>
            <w:tcW w:type="dxa" w:w="3557"/>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IBM VP + Horizon CIO/COO strategic review</w:t>
            </w:r>
          </w:p>
        </w:tc>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Direction for 3.7M members</w:t>
            </w:r>
          </w:p>
        </w:tc>
      </w:tr>
      <w:tr>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Program Management</w:t>
            </w:r>
          </w:p>
        </w:tc>
        <w:tc>
          <w:tcPr>
            <w:tcW w:type="dxa" w:w="131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Monthly</w:t>
            </w:r>
          </w:p>
        </w:tc>
        <w:tc>
          <w:tcPr>
            <w:tcW w:type="dxa" w:w="3557"/>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Health reporting, risk register</w:t>
            </w:r>
          </w:p>
        </w:tc>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No surprises for leadership</w:t>
            </w:r>
          </w:p>
        </w:tc>
      </w:tr>
      <w:tr>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Delivery Ops Review</w:t>
            </w:r>
          </w:p>
        </w:tc>
        <w:tc>
          <w:tcPr>
            <w:tcW w:type="dxa" w:w="131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Bi-weekly</w:t>
            </w:r>
          </w:p>
        </w:tc>
        <w:tc>
          <w:tcPr>
            <w:tcW w:type="dxa" w:w="3557"/>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SLA and incident trends</w:t>
            </w:r>
          </w:p>
        </w:tc>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Teams doing the work</w:t>
            </w:r>
          </w:p>
        </w:tc>
      </w:tr>
      <w:tr>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Financial Governance</w:t>
            </w:r>
          </w:p>
        </w:tc>
        <w:tc>
          <w:tcPr>
            <w:tcW w:type="dxa" w:w="131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Monthly</w:t>
            </w:r>
          </w:p>
        </w:tc>
        <w:tc>
          <w:tcPr>
            <w:tcW w:type="dxa" w:w="3557"/>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Actuals vs. committed model</w:t>
            </w:r>
          </w:p>
        </w:tc>
        <w:tc>
          <w:tcPr>
            <w:tcW w:type="dxa" w:w="2246"/>
            <w:tcBorders>
              <w:top w:val="single" w:color="E0E0E0" w:sz="4"/>
              <w:left w:val="single" w:color="E0E0E0" w:sz="4"/>
              <w:bottom w:val="single" w:color="E0E0E0" w:sz="4"/>
              <w:right w:val="single" w:color="E0E0E0" w:sz="4"/>
            </w:tcBorders>
            <w:shd w:fill="F4F4F4"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Cost takeout to the dollar</w:t>
            </w:r>
          </w:p>
        </w:tc>
      </w:tr>
      <w:tr>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bCs/>
                <w:i w:val="false"/>
                <w:iCs w:val="false"/>
                <w:color w:val="161616"/>
                <w:sz w:val="17"/>
                <w:szCs w:val="17"/>
              </w:rPr>
              <w:t xml:space="preserve">Innovation Council</w:t>
            </w:r>
          </w:p>
        </w:tc>
        <w:tc>
          <w:tcPr>
            <w:tcW w:type="dxa" w:w="1310"/>
            <w:tcBorders>
              <w:top w:val="single" w:color="E0E0E0" w:sz="4"/>
              <w:left w:val="single" w:color="E0E0E0" w:sz="4"/>
              <w:bottom w:val="single" w:color="E0E0E0" w:sz="4"/>
              <w:right w:val="single" w:color="E0E0E0" w:sz="4"/>
            </w:tcBorders>
            <w:shd w:fill="EBF2FF" w:val="clear"/>
            <w:tcMar>
              <w:top w:type="dxa" w:w="30"/>
              <w:left w:type="dxa" w:w="100"/>
              <w:bottom w:type="dxa" w:w="30"/>
              <w:right w:type="dxa" w:w="100"/>
            </w:tcMar>
            <w:vAlign w:val="center"/>
          </w:tcPr>
          <w:p>
            <w:pPr>
              <w:spacing w:after="20" w:before="20"/>
              <w:jc w:val="center"/>
            </w:pPr>
            <w:r>
              <w:rPr>
                <w:rFonts w:ascii="Calibri" w:cs="Calibri" w:eastAsia="Calibri" w:hAnsi="Calibri"/>
                <w:b/>
                <w:bCs/>
                <w:i w:val="false"/>
                <w:iCs w:val="false"/>
                <w:color w:val="0F62FE"/>
                <w:sz w:val="17"/>
                <w:szCs w:val="17"/>
              </w:rPr>
              <w:t xml:space="preserve">Quarterly</w:t>
            </w:r>
          </w:p>
        </w:tc>
        <w:tc>
          <w:tcPr>
            <w:tcW w:type="dxa" w:w="3557"/>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val="false"/>
                <w:iCs w:val="false"/>
                <w:color w:val="525252"/>
                <w:sz w:val="17"/>
                <w:szCs w:val="17"/>
              </w:rPr>
              <w:t xml:space="preserve">Idea pipeline and prioritization</w:t>
            </w:r>
          </w:p>
        </w:tc>
        <w:tc>
          <w:tcPr>
            <w:tcW w:type="dxa" w:w="2246"/>
            <w:tcBorders>
              <w:top w:val="single" w:color="E0E0E0" w:sz="4"/>
              <w:left w:val="single" w:color="E0E0E0" w:sz="4"/>
              <w:bottom w:val="single" w:color="E0E0E0" w:sz="4"/>
              <w:right w:val="single" w:color="E0E0E0" w:sz="4"/>
            </w:tcBorders>
            <w:shd w:fill="FFFFFF" w:val="clear"/>
            <w:tcMar>
              <w:top w:type="dxa" w:w="30"/>
              <w:left w:type="dxa" w:w="100"/>
              <w:bottom w:type="dxa" w:w="30"/>
              <w:right w:type="dxa" w:w="100"/>
            </w:tcMar>
            <w:vAlign w:val="center"/>
          </w:tcPr>
          <w:p>
            <w:pPr>
              <w:spacing w:after="20" w:before="20"/>
            </w:pPr>
            <w:r>
              <w:rPr>
                <w:rFonts w:ascii="Calibri" w:cs="Calibri" w:eastAsia="Calibri" w:hAnsi="Calibri"/>
                <w:b w:val="false"/>
                <w:bCs w:val="false"/>
                <w:i/>
                <w:iCs/>
                <w:color w:val="001141"/>
                <w:sz w:val="17"/>
                <w:szCs w:val="17"/>
              </w:rPr>
              <w:t xml:space="preserve">Business-case-backed change</w:t>
            </w:r>
          </w:p>
        </w:tc>
      </w:tr>
    </w:tbl>
    <w:p>
      <w:pPr>
        <w:spacing w:after="40" w:before="0"/>
      </w:pPr>
      <w:r>
        <w:rPr>
          <w:rFonts w:ascii="Calibri" w:cs="Calibri" w:eastAsia="Calibri" w:hAnsi="Calibri"/>
          <w:sz w:val="8"/>
          <w:szCs w:val="8"/>
        </w:rPr>
        <w:t xml:space="preserve"/>
      </w:r>
    </w:p>
    <w:p>
      <w:pPr>
        <w:spacing w:after="80" w:before="0"/>
      </w:pPr>
      <w:r>
        <w:rPr>
          <w:rFonts w:ascii="Calibri" w:cs="Calibri" w:eastAsia="Calibri" w:hAnsi="Calibri"/>
          <w:b w:val="false"/>
          <w:bCs w:val="false"/>
          <w:i w:val="false"/>
          <w:iCs w:val="false"/>
          <w:color w:val="001141"/>
          <w:sz w:val="18"/>
          <w:szCs w:val="18"/>
        </w:rPr>
        <w:t xml:space="preserve">Portfolio: 60 initiatives across 3 delivery years  ·  25 Year 1  ·  15 Active at launch  ·  9 Completed in foundation  ·  All tracked live in CareOps360</w:t>
      </w:r>
    </w:p>
    <w:p>
      <w:pPr>
        <w:sectPr>
          <w:headerReference w:type="default" r:id="rId47"/>
          <w:footerReference w:type="default" r:id="rId48"/>
          <w:type w:val="continuous"/>
          <w:pgSz w:w="11906" w:h="16838" w:orient="portrait"/>
          <w:pgMar w:top="1080" w:right="1224" w:bottom="863" w:left="1224" w:header="708" w:footer="708" w:gutter="0"/>
          <w:pgNumType/>
          <w:cols w:num="1"/>
          <w:docGrid w:linePitch="360"/>
        </w:sectPr>
      </w:pPr>
    </w:p>
    <w:p>
      <w:pPr>
        <w:pBdr>
          <w:top w:val="single" w:color="0F62FE" w:sz="18" w:space="8"/>
        </w:pBdr>
        <w:spacing w:after="40" w:before="0"/>
      </w:pPr>
    </w:p>
    <w:p>
      <w:pPr>
        <w:spacing w:after="20" w:before="0"/>
      </w:pPr>
      <w:r>
        <w:rPr>
          <w:rFonts w:ascii="Calibri" w:cs="Calibri" w:eastAsia="Calibri" w:hAnsi="Calibri"/>
          <w:b/>
          <w:bCs/>
          <w:i w:val="false"/>
          <w:iCs w:val="false"/>
          <w:color w:val="0F62FE"/>
          <w:sz w:val="18"/>
          <w:szCs w:val="18"/>
        </w:rPr>
        <w:t xml:space="preserve">09  </w:t>
      </w:r>
      <w:r>
        <w:rPr>
          <w:rFonts w:ascii="Calibri" w:cs="Calibri" w:eastAsia="Calibri" w:hAnsi="Calibri"/>
          <w:b/>
          <w:bCs/>
          <w:i w:val="false"/>
          <w:iCs w:val="false"/>
          <w:color w:val="001141"/>
          <w:sz w:val="30"/>
          <w:szCs w:val="30"/>
        </w:rPr>
        <w:t xml:space="preserve">Why IBM — Transformation Opportunities &amp; Next Steps</w:t>
      </w:r>
    </w:p>
    <w:p>
      <w:pPr>
        <w:spacing w:after="80" w:before="0"/>
      </w:pPr>
      <w:r>
        <w:rPr>
          <w:rFonts w:ascii="Calibri" w:cs="Calibri" w:eastAsia="Calibri" w:hAnsi="Calibri"/>
          <w:b w:val="false"/>
          <w:bCs w:val="false"/>
          <w:i/>
          <w:iCs/>
          <w:color w:val="8D8D8D"/>
          <w:sz w:val="18"/>
          <w:szCs w:val="18"/>
        </w:rPr>
        <w:t xml:space="preserve">Digital Front Door, Mainframe Modernization, ICOE Partnership &amp; Call to Action</w:t>
      </w:r>
    </w:p>
    <w:p>
      <w:pPr>
        <w:pBdr>
          <w:left w:val="single" w:color="0F62FE" w:sz="16" w:space="8"/>
        </w:pBdr>
        <w:spacing w:after="20" w:before="60"/>
        <w:ind w:left="431"/>
      </w:pPr>
      <w:r>
        <w:rPr>
          <w:rFonts w:ascii="Calibri" w:cs="Calibri" w:eastAsia="Calibri" w:hAnsi="Calibri"/>
          <w:b w:val="false"/>
          <w:bCs w:val="false"/>
          <w:i/>
          <w:iCs/>
          <w:color w:val="001141"/>
          <w:sz w:val="20"/>
          <w:szCs w:val="20"/>
        </w:rPr>
        <w:t xml:space="preserve">“IBM’s ultimate accountability is not to a contract — it is to the 3.7 million members who rely on Horizon’s systems every day. The patient waiting for a prior auth. The provider navigating a claims dispute. The family enrolling for the first time. Those are IBM’s stakeholders.”</w:t>
      </w:r>
    </w:p>
    <w:p>
      <w:pPr>
        <w:spacing w:after="80" w:before="0"/>
        <w:jc w:val="right"/>
      </w:pPr>
      <w:r>
        <w:rPr>
          <w:rFonts w:ascii="Calibri" w:cs="Calibri" w:eastAsia="Calibri" w:hAnsi="Calibri"/>
          <w:b/>
          <w:bCs/>
          <w:i w:val="false"/>
          <w:iCs w:val="false"/>
          <w:color w:val="0F62FE"/>
          <w:sz w:val="16"/>
          <w:szCs w:val="16"/>
        </w:rPr>
        <w:t xml:space="preserve">— IBM Consulting, Healthcare &amp; Payer Delivery</w:t>
      </w:r>
    </w:p>
    <w:p>
      <w:pPr>
        <w:sectPr>
          <w:headerReference w:type="default" r:id="rId49"/>
          <w:footerReference w:type="default" r:id="rId50"/>
          <w:type w:val="nextPage"/>
          <w:pgSz w:w="11906" w:h="16838" w:orient="portrait"/>
          <w:pgMar w:top="1080" w:right="1224" w:bottom="863" w:left="1224" w:header="708" w:footer="708" w:gutter="0"/>
          <w:pgNumType/>
          <w:cols w:num="1"/>
          <w:docGrid w:linePitch="360"/>
        </w:sectPr>
      </w:pPr>
    </w:p>
    <w:p>
      <w:pPr>
        <w:spacing w:after="40" w:before="40"/>
      </w:pPr>
      <w:r>
        <w:rPr>
          <w:rFonts w:ascii="Calibri" w:cs="Calibri" w:eastAsia="Calibri" w:hAnsi="Calibri"/>
          <w:b/>
          <w:bCs/>
          <w:i w:val="false"/>
          <w:iCs w:val="false"/>
          <w:color w:val="001141"/>
          <w:sz w:val="22"/>
          <w:szCs w:val="22"/>
        </w:rPr>
        <w:t xml:space="preserve">Transformation Opportunities</w:t>
      </w:r>
    </w:p>
    <w:p>
      <w:pPr>
        <w:spacing w:after="20" w:before="80"/>
      </w:pPr>
      <w:r>
        <w:rPr>
          <w:rFonts w:ascii="Calibri" w:cs="Calibri" w:eastAsia="Calibri" w:hAnsi="Calibri"/>
          <w:b/>
          <w:bCs/>
          <w:i w:val="false"/>
          <w:iCs w:val="false"/>
          <w:color w:val="0F62FE"/>
          <w:sz w:val="20"/>
          <w:szCs w:val="20"/>
        </w:rPr>
        <w:t xml:space="preserve">Digital Front Door</w:t>
      </w:r>
    </w:p>
    <w:p>
      <w:pPr>
        <w:spacing w:after="80" w:before="0"/>
      </w:pPr>
      <w:r>
        <w:rPr>
          <w:rFonts w:ascii="Calibri" w:cs="Calibri" w:eastAsia="Calibri" w:hAnsi="Calibri"/>
          <w:b w:val="false"/>
          <w:bCs w:val="false"/>
          <w:i w:val="false"/>
          <w:iCs w:val="false"/>
          <w:color w:val="525252"/>
          <w:sz w:val="19"/>
          <w:szCs w:val="19"/>
        </w:rPr>
        <w:t xml:space="preserve">IBM will co-design, co-build, and co-operate the unified digital engagement layer. Healthcare digital accelerators + BCBS transformation playbook.</w:t>
      </w:r>
    </w:p>
    <w:p>
      <w:pPr>
        <w:spacing w:after="20" w:before="80"/>
      </w:pPr>
      <w:r>
        <w:rPr>
          <w:rFonts w:ascii="Calibri" w:cs="Calibri" w:eastAsia="Calibri" w:hAnsi="Calibri"/>
          <w:b/>
          <w:bCs/>
          <w:i w:val="false"/>
          <w:iCs w:val="false"/>
          <w:color w:val="0F62FE"/>
          <w:sz w:val="20"/>
          <w:szCs w:val="20"/>
        </w:rPr>
        <w:t xml:space="preserve">Quote to Card</w:t>
      </w:r>
    </w:p>
    <w:p>
      <w:pPr>
        <w:spacing w:after="80" w:before="0"/>
      </w:pPr>
      <w:r>
        <w:rPr>
          <w:rFonts w:ascii="Calibri" w:cs="Calibri" w:eastAsia="Calibri" w:hAnsi="Calibri"/>
          <w:b w:val="false"/>
          <w:bCs w:val="false"/>
          <w:i w:val="false"/>
          <w:iCs w:val="false"/>
          <w:color w:val="525252"/>
          <w:sz w:val="19"/>
          <w:szCs w:val="19"/>
        </w:rPr>
        <w:t xml:space="preserve">Fully digital plan comparison, selection, and payment. Compress sales cycle from 4+ months to weeks. Expected return: $38–50M annually.</w:t>
      </w:r>
    </w:p>
    <w:p>
      <w:pPr>
        <w:spacing w:after="20" w:before="80"/>
      </w:pPr>
      <w:r>
        <w:rPr>
          <w:rFonts w:ascii="Calibri" w:cs="Calibri" w:eastAsia="Calibri" w:hAnsi="Calibri"/>
          <w:b/>
          <w:bCs/>
          <w:i w:val="false"/>
          <w:iCs w:val="false"/>
          <w:color w:val="0F62FE"/>
          <w:sz w:val="20"/>
          <w:szCs w:val="20"/>
        </w:rPr>
        <w:t xml:space="preserve">Mainframe Modernization</w:t>
      </w:r>
    </w:p>
    <w:p>
      <w:pPr>
        <w:spacing w:after="80" w:before="0"/>
      </w:pPr>
      <w:r>
        <w:rPr>
          <w:rFonts w:ascii="Calibri" w:cs="Calibri" w:eastAsia="Calibri" w:hAnsi="Calibri"/>
          <w:b w:val="false"/>
          <w:bCs w:val="false"/>
          <w:i w:val="false"/>
          <w:iCs w:val="false"/>
          <w:color w:val="525252"/>
          <w:sz w:val="19"/>
          <w:szCs w:val="19"/>
        </w:rPr>
        <w:t xml:space="preserve">Phased parallel-run migration. AI-assisted COBOL-to-Java conversion compresses timeline 40–60% vs. manual approaches.</w:t>
      </w:r>
    </w:p>
    <w:p>
      <w:pPr>
        <w:spacing w:after="20" w:before="80"/>
      </w:pPr>
      <w:r>
        <w:rPr>
          <w:rFonts w:ascii="Calibri" w:cs="Calibri" w:eastAsia="Calibri" w:hAnsi="Calibri"/>
          <w:b/>
          <w:bCs/>
          <w:i w:val="false"/>
          <w:iCs w:val="false"/>
          <w:color w:val="0F62FE"/>
          <w:sz w:val="20"/>
          <w:szCs w:val="20"/>
        </w:rPr>
        <w:t xml:space="preserve">ICOE Modernization</w:t>
      </w:r>
    </w:p>
    <w:p>
      <w:pPr>
        <w:spacing w:after="80" w:before="0"/>
      </w:pPr>
      <w:r>
        <w:rPr>
          <w:rFonts w:ascii="Calibri" w:cs="Calibri" w:eastAsia="Calibri" w:hAnsi="Calibri"/>
          <w:b w:val="false"/>
          <w:bCs w:val="false"/>
          <w:i w:val="false"/>
          <w:iCs w:val="false"/>
          <w:color w:val="525252"/>
          <w:sz w:val="19"/>
          <w:szCs w:val="19"/>
        </w:rPr>
        <w:t xml:space="preserve">Databricks-centric, event-driven architecture replacing Informatica. Standardized data contracts. Real-time data flow.</w:t>
      </w:r>
    </w:p>
    <w:p>
      <w:pPr>
        <w:spacing w:after="40" w:before="60"/>
      </w:pPr>
      <w:r>
        <w:rPr>
          <w:rFonts w:ascii="Calibri" w:cs="Calibri" w:eastAsia="Calibri" w:hAnsi="Calibri"/>
          <w:b/>
          <w:bCs/>
          <w:i w:val="false"/>
          <w:iCs w:val="false"/>
          <w:color w:val="001141"/>
          <w:sz w:val="22"/>
          <w:szCs w:val="22"/>
        </w:rPr>
        <w:t xml:space="preserve">What Differentiates IBM</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Skin in the game — Outcome-based SLAs. IBM carries the delivery risk.</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AI at depth — Production-proven at comparable payers. Live today.</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6,500+ production-tested assets — IBM Consulting Advantage.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Gartner Leader: 7 Data &amp; AI Magic Quadrants (2025–2026)</w:t>
      </w:r>
    </w:p>
    <w:p>
      <w:r>
        <w:rPr>
          <w:rFonts w:ascii="Calibri" w:cs="Calibri" w:eastAsia="Calibri" w:hAnsi="Calibri"/>
          <w:sz w:val="4"/>
          <w:szCs w:val="4"/>
        </w:rPr>
        <w:r>
          <w:br w:type="column"/>
        </w:r>
      </w:r>
    </w:p>
    <w:p>
      <w:pPr>
        <w:spacing w:after="40" w:before="40"/>
      </w:pPr>
      <w:r>
        <w:rPr>
          <w:rFonts w:ascii="Calibri" w:cs="Calibri" w:eastAsia="Calibri" w:hAnsi="Calibri"/>
          <w:b/>
          <w:bCs/>
          <w:i w:val="false"/>
          <w:iCs w:val="false"/>
          <w:color w:val="001141"/>
          <w:sz w:val="22"/>
          <w:szCs w:val="22"/>
        </w:rPr>
        <w:t xml:space="preserve">Healthcare Payer Pedigree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AWS Partner of the Year 2025</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Leader in Enterprise Software Quality &amp; Testing</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Proven BCBS engagement track record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CMS &amp; HIPAA compliance expertise</w:t>
      </w:r>
    </w:p>
    <w:p>
      <w:pPr>
        <w:spacing w:after="40" w:before="60"/>
      </w:pPr>
      <w:r>
        <w:rPr>
          <w:rFonts w:ascii="Calibri" w:cs="Calibri" w:eastAsia="Calibri" w:hAnsi="Calibri"/>
          <w:b/>
          <w:bCs/>
          <w:i w:val="false"/>
          <w:iCs w:val="false"/>
          <w:color w:val="001141"/>
          <w:sz w:val="22"/>
          <w:szCs w:val="22"/>
        </w:rPr>
        <w:t xml:space="preserve">Recommended Next Steps</w:t>
      </w:r>
    </w:p>
    <w:p>
      <w:pPr>
        <w:spacing w:after="20" w:before="80"/>
      </w:pPr>
      <w:r>
        <w:rPr>
          <w:rFonts w:ascii="Calibri" w:cs="Calibri" w:eastAsia="Calibri" w:hAnsi="Calibri"/>
          <w:b/>
          <w:bCs/>
          <w:i w:val="false"/>
          <w:iCs w:val="false"/>
          <w:color w:val="0F62FE"/>
          <w:sz w:val="20"/>
          <w:szCs w:val="20"/>
        </w:rPr>
        <w:t xml:space="preserve">Immediate Actions (2–4 Weeks)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Executive Alignment — IBM VP + Horizon CIO/COO confirm scope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Command Center Walkthrough — Live CareOps360, AIOps, ICA, BOB demo</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Contract Finalization — Outcome-based SLA schedule confirmed</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Phase 0 Foundation Assessment — Portfolio and AIOps baseline</w:t>
      </w:r>
    </w:p>
    <w:p>
      <w:pPr>
        <w:spacing w:after="20" w:before="80"/>
      </w:pPr>
      <w:r>
        <w:rPr>
          <w:rFonts w:ascii="Calibri" w:cs="Calibri" w:eastAsia="Calibri" w:hAnsi="Calibri"/>
          <w:b/>
          <w:bCs/>
          <w:i w:val="false"/>
          <w:iCs w:val="false"/>
          <w:color w:val="0F62FE"/>
          <w:sz w:val="20"/>
          <w:szCs w:val="20"/>
        </w:rPr>
        <w:t xml:space="preserve">Phase 0 Commitments (Weeks 1–12)</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Wk 1–2: Transition team mobilized; AIOps instrumentation begins</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Wk 3–4: ICOE architecture workshop; Quote to Card KPI roadmap</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Wk 5–6: Phase 1 Ignite plan to Steering Committee</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Wk 7–8: Transformation Office inaugural session</w:t>
      </w:r>
    </w:p>
    <w:p>
      <w:pPr>
        <w:pStyle w:val="ListParagraph"/>
        <w:numPr>
          <w:ilvl w:val="0"/>
          <w:numId w:val="1"/>
        </w:numPr>
        <w:spacing w:after="40" w:before="10"/>
      </w:pPr>
      <w:r>
        <w:rPr>
          <w:rFonts w:ascii="Calibri" w:cs="Calibri" w:eastAsia="Calibri" w:hAnsi="Calibri"/>
          <w:b w:val="false"/>
          <w:bCs w:val="false"/>
          <w:i w:val="false"/>
          <w:iCs w:val="false"/>
          <w:color w:val="525252"/>
          <w:sz w:val="19"/>
          <w:szCs w:val="19"/>
        </w:rPr>
        <w:t xml:space="preserve">Wk 8–12: AIOps platform live on production</w:t>
      </w:r>
    </w:p>
    <w:p>
      <w:pPr>
        <w:spacing w:after="40" w:before="0"/>
      </w:pPr>
      <w:r>
        <w:rPr>
          <w:rFonts w:ascii="Calibri" w:cs="Calibri" w:eastAsia="Calibri" w:hAnsi="Calibri"/>
          <w:sz w:val="8"/>
          <w:szCs w:val="8"/>
        </w:rPr>
        <w:t xml:space="preserve"/>
      </w:r>
    </w:p>
    <w:p>
      <w:pPr>
        <w:shd w:fill="EBF2FF" w:val="clear"/>
        <w:spacing w:after="80" w:before="80"/>
        <w:ind w:left="215" w:right="215"/>
      </w:pPr>
      <w:r>
        <w:rPr>
          <w:rFonts w:ascii="Calibri" w:cs="Calibri" w:eastAsia="Calibri" w:hAnsi="Calibri"/>
          <w:b/>
          <w:bCs/>
          <w:i w:val="false"/>
          <w:iCs w:val="false"/>
          <w:color w:val="001141"/>
          <w:sz w:val="19"/>
          <w:szCs w:val="19"/>
        </w:rPr>
        <w:t xml:space="preserve">IBM is ready. Phase 0 mobilizes within 5 business days.</w:t>
      </w:r>
    </w:p>
    <w:p>
      <w:pPr>
        <w:sectPr>
          <w:headerReference w:type="default" r:id="rId51"/>
          <w:footerReference w:type="default" r:id="rId52"/>
          <w:type w:val="continuous"/>
          <w:pgSz w:w="11906" w:h="16838" w:orient="portrait"/>
          <w:pgMar w:top="1080" w:right="1224" w:bottom="863" w:left="1224" w:header="708" w:footer="708" w:gutter="0"/>
          <w:pgNumType/>
          <w:cols w:space="431" w:num="2" w:sep="false"/>
          <w:docGrid w:linePitch="360"/>
        </w:sectPr>
      </w:pPr>
    </w:p>
    <w:p>
      <w:pPr>
        <w:spacing w:after="80" w:before="0"/>
      </w:pPr>
      <w:r>
        <w:rPr>
          <w:rFonts w:ascii="Calibri" w:cs="Calibri" w:eastAsia="Calibri" w:hAnsi="Calibri"/>
          <w:sz w:val="8"/>
          <w:szCs w:val="8"/>
        </w:rPr>
        <w:t xml:space="preserve"/>
      </w:r>
    </w:p>
    <w:tbl>
      <w:tblPr>
        <w:tblW w:type="dxa" w:w="9360"/>
        <w:tblBorders>
          <w:top w:val="none" w:color="auto" w:sz="0"/>
          <w:left w:val="none" w:color="auto" w:sz="0"/>
          <w:bottom w:val="none" w:color="auto" w:sz="0"/>
          <w:right w:val="none" w:color="auto" w:sz="0"/>
          <w:insideH w:val="single" w:color="auto" w:sz="4"/>
          <w:insideV w:val="single" w:color="auto" w:sz="4"/>
        </w:tblBorders>
        <w:tblLayout w:type="fixed"/>
      </w:tblPr>
      <w:tblGrid>
        <w:gridCol w:w="100"/>
        <w:gridCol w:w="100"/>
        <w:gridCol w:w="100"/>
        <w:gridCol w:w="100"/>
      </w:tblGrid>
      <w:tr>
        <w:tc>
          <w:tcPr>
            <w:tcW w:type="dxa" w:w="2340"/>
            <w:tcBorders>
              <w:top w:val="single" w:color="0F62FE"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0F62FE"/>
                <w:sz w:val="44"/>
                <w:szCs w:val="44"/>
              </w:rPr>
              <w:t xml:space="preserve">20K+</w:t>
            </w:r>
          </w:p>
          <w:p>
            <w:pPr>
              <w:spacing w:after="100" w:before="0"/>
              <w:jc w:val="center"/>
            </w:pPr>
            <w:r>
              <w:rPr>
                <w:rFonts w:ascii="Calibri" w:cs="Calibri" w:eastAsia="Calibri" w:hAnsi="Calibri"/>
                <w:b/>
                <w:bCs/>
                <w:i w:val="false"/>
                <w:iCs w:val="false"/>
                <w:color w:val="001141"/>
                <w:sz w:val="16"/>
                <w:szCs w:val="16"/>
              </w:rPr>
              <w:t xml:space="preserve">AI Practitioners</w:t>
            </w:r>
          </w:p>
        </w:tc>
        <w:tc>
          <w:tcPr>
            <w:tcW w:type="dxa" w:w="2340"/>
            <w:tcBorders>
              <w:top w:val="single" w:color="0043CE"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0043CE"/>
                <w:sz w:val="44"/>
                <w:szCs w:val="44"/>
              </w:rPr>
              <w:t xml:space="preserve">81K+</w:t>
            </w:r>
          </w:p>
          <w:p>
            <w:pPr>
              <w:spacing w:after="100" w:before="0"/>
              <w:jc w:val="center"/>
            </w:pPr>
            <w:r>
              <w:rPr>
                <w:rFonts w:ascii="Calibri" w:cs="Calibri" w:eastAsia="Calibri" w:hAnsi="Calibri"/>
                <w:b/>
                <w:bCs/>
                <w:i w:val="false"/>
                <w:iCs w:val="false"/>
                <w:color w:val="001141"/>
                <w:sz w:val="16"/>
                <w:szCs w:val="16"/>
              </w:rPr>
              <w:t xml:space="preserve">Cloud Experts</w:t>
            </w:r>
          </w:p>
        </w:tc>
        <w:tc>
          <w:tcPr>
            <w:tcW w:type="dxa" w:w="2340"/>
            <w:tcBorders>
              <w:top w:val="single" w:color="007D79"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007D79"/>
                <w:sz w:val="44"/>
                <w:szCs w:val="44"/>
              </w:rPr>
              <w:t xml:space="preserve">40K+</w:t>
            </w:r>
          </w:p>
          <w:p>
            <w:pPr>
              <w:spacing w:after="100" w:before="0"/>
              <w:jc w:val="center"/>
            </w:pPr>
            <w:r>
              <w:rPr>
                <w:rFonts w:ascii="Calibri" w:cs="Calibri" w:eastAsia="Calibri" w:hAnsi="Calibri"/>
                <w:b/>
                <w:bCs/>
                <w:i w:val="false"/>
                <w:iCs w:val="false"/>
                <w:color w:val="001141"/>
                <w:sz w:val="16"/>
                <w:szCs w:val="16"/>
              </w:rPr>
              <w:t xml:space="preserve">AI Engagements</w:t>
            </w:r>
          </w:p>
        </w:tc>
        <w:tc>
          <w:tcPr>
            <w:tcW w:type="dxa" w:w="2340"/>
            <w:tcBorders>
              <w:top w:val="single" w:color="6929C4" w:sz="10"/>
              <w:left w:val="single" w:color="E0E0E0" w:sz="4"/>
              <w:bottom w:val="single" w:color="E0E0E0" w:sz="4"/>
              <w:right w:val="single" w:color="E0E0E0" w:sz="4"/>
            </w:tcBorders>
            <w:shd w:fill="EBF2FF" w:val="clear"/>
            <w:tcMar>
              <w:top w:type="dxa" w:w="40"/>
              <w:left w:type="dxa" w:w="60"/>
              <w:bottom w:type="dxa" w:w="40"/>
              <w:right w:type="dxa" w:w="60"/>
            </w:tcMar>
            <w:vAlign w:val="center"/>
          </w:tcPr>
          <w:p>
            <w:pPr>
              <w:spacing w:after="20" w:before="100"/>
              <w:jc w:val="center"/>
            </w:pPr>
            <w:r>
              <w:rPr>
                <w:rFonts w:ascii="Calibri" w:cs="Calibri" w:eastAsia="Calibri" w:hAnsi="Calibri"/>
                <w:b/>
                <w:bCs/>
                <w:i w:val="false"/>
                <w:iCs w:val="false"/>
                <w:color w:val="6929C4"/>
                <w:sz w:val="44"/>
                <w:szCs w:val="44"/>
              </w:rPr>
              <w:t xml:space="preserve">$3.4B</w:t>
            </w:r>
          </w:p>
          <w:p>
            <w:pPr>
              <w:spacing w:after="100" w:before="0"/>
              <w:jc w:val="center"/>
            </w:pPr>
            <w:r>
              <w:rPr>
                <w:rFonts w:ascii="Calibri" w:cs="Calibri" w:eastAsia="Calibri" w:hAnsi="Calibri"/>
                <w:b/>
                <w:bCs/>
                <w:i w:val="false"/>
                <w:iCs w:val="false"/>
                <w:color w:val="001141"/>
                <w:sz w:val="16"/>
                <w:szCs w:val="16"/>
              </w:rPr>
              <w:t xml:space="preserve">IBM Client-0 Savings</w:t>
            </w:r>
          </w:p>
        </w:tc>
      </w:tr>
    </w:tbl>
    <w:p>
      <w:pPr>
        <w:spacing w:after="120" w:before="0"/>
      </w:pPr>
      <w:r>
        <w:rPr>
          <w:rFonts w:ascii="Calibri" w:cs="Calibri" w:eastAsia="Calibri" w:hAnsi="Calibri"/>
          <w:sz w:val="8"/>
          <w:szCs w:val="8"/>
        </w:rPr>
        <w:t xml:space="preserve"/>
      </w:r>
    </w:p>
    <w:p>
      <w:pPr>
        <w:pBdr>
          <w:bottom w:val="single" w:color="0F62FE" w:sz="6"/>
        </w:pBdr>
        <w:spacing w:after="80" w:before="40"/>
      </w:pPr>
    </w:p>
    <w:p>
      <w:pPr>
        <w:spacing w:after="80" w:before="40"/>
      </w:pPr>
      <w:r>
        <w:rPr>
          <w:rFonts w:ascii="Calibri" w:cs="Calibri" w:eastAsia="Calibri" w:hAnsi="Calibri"/>
          <w:b w:val="false"/>
          <w:bCs w:val="false"/>
          <w:i/>
          <w:iCs/>
          <w:color w:val="525252"/>
          <w:sz w:val="21"/>
          <w:szCs w:val="21"/>
        </w:rPr>
        <w:t xml:space="preserve">“The measure of a great payer isn’t uptime. It is the member who never has to think about their insurance because </w:t>
      </w:r>
      <w:r>
        <w:rPr>
          <w:rFonts w:ascii="Calibri" w:cs="Calibri" w:eastAsia="Calibri" w:hAnsi="Calibri"/>
          <w:b/>
          <w:bCs/>
          <w:i/>
          <w:iCs/>
          <w:color w:val="001141"/>
          <w:sz w:val="21"/>
          <w:szCs w:val="21"/>
        </w:rPr>
        <w:t xml:space="preserve">everything just works.</w:t>
      </w:r>
      <w:r>
        <w:rPr>
          <w:rFonts w:ascii="Calibri" w:cs="Calibri" w:eastAsia="Calibri" w:hAnsi="Calibri"/>
          <w:b w:val="false"/>
          <w:bCs w:val="false"/>
          <w:i/>
          <w:iCs/>
          <w:color w:val="525252"/>
          <w:sz w:val="21"/>
          <w:szCs w:val="21"/>
        </w:rPr>
        <w:t xml:space="preserve">”</w:t>
      </w:r>
    </w:p>
    <w:p>
      <w:pPr>
        <w:spacing w:after="20" w:before="40"/>
        <w:jc w:val="center"/>
      </w:pPr>
      <w:r>
        <w:rPr>
          <w:rFonts w:ascii="Calibri" w:cs="Calibri" w:eastAsia="Calibri" w:hAnsi="Calibri"/>
          <w:b/>
          <w:bCs/>
          <w:i w:val="false"/>
          <w:iCs w:val="false"/>
          <w:color w:val="001141"/>
          <w:sz w:val="21"/>
          <w:szCs w:val="21"/>
        </w:rPr>
        <w:t xml:space="preserve">A Strategic Partnership for Enterprise Transformation</w:t>
      </w:r>
    </w:p>
    <w:p>
      <w:pPr>
        <w:spacing w:after="80" w:before="0"/>
        <w:jc w:val="center"/>
      </w:pPr>
      <w:r>
        <w:rPr>
          <w:rFonts w:ascii="Calibri" w:cs="Calibri" w:eastAsia="Calibri" w:hAnsi="Calibri"/>
          <w:b w:val="false"/>
          <w:bCs w:val="false"/>
          <w:i/>
          <w:iCs/>
          <w:color w:val="525252"/>
          <w:sz w:val="19"/>
          <w:szCs w:val="19"/>
        </w:rPr>
        <w:t xml:space="preserve">IBM is committed to Horizon’s success — not as a vendor, but as a transformation partner with shared stakes in every outcome.</w:t>
      </w:r>
    </w:p>
    <w:p>
      <w:pPr>
        <w:pBdr>
          <w:top w:val="single" w:color="E0E0E0" w:sz="2"/>
        </w:pBdr>
        <w:spacing w:after="40" w:before="60"/>
      </w:pPr>
    </w:p>
    <w:p>
      <w:pPr>
        <w:spacing w:after="0" w:before="0"/>
        <w:jc w:val="center"/>
      </w:pPr>
      <w:r>
        <w:rPr>
          <w:rFonts w:ascii="Calibri" w:cs="Calibri" w:eastAsia="Calibri" w:hAnsi="Calibri"/>
          <w:b w:val="false"/>
          <w:bCs w:val="false"/>
          <w:i w:val="false"/>
          <w:iCs w:val="false"/>
          <w:color w:val="8D8D8D"/>
          <w:sz w:val="15"/>
          <w:szCs w:val="15"/>
        </w:rPr>
        <w:t xml:space="preserve">© 2026 IBM Corporation  ·  IBM-HZN-AMS-RFP-2026-CAS  ·  Confidential  ·  All figures based on IBM program data and industry benchmarks.</w:t>
      </w:r>
    </w:p>
    <w:sectPr>
      <w:headerReference w:type="default" r:id="rId53"/>
      <w:footerReference w:type="default" r:id="rId54"/>
      <w:type w:val="continuous"/>
      <w:pgSz w:w="11906" w:h="16838" w:orient="portrait"/>
      <w:pgMar w:top="1080" w:right="1224" w:bottom="863" w:left="1224"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after="0" w:before="40"/>
    </w:pPr>
    <w:r>
      <w:rPr>
        <w:rFonts w:ascii="Calibri" w:cs="Calibri" w:eastAsia="Calibri" w:hAnsi="Calibri"/>
        <w:b w:val="false"/>
        <w:bCs w:val="false"/>
        <w:i w:val="false"/>
        <w:iCs w:val="false"/>
        <w:color w:val="0F62FE"/>
        <w:sz w:val="14"/>
        <w:szCs w:val="14"/>
      </w:rPr>
      <w:t xml:space="preserve">CareOps360  ·  IBM AIOps  ·  IBM Consulting Advantage  ·  April 2026  |  </w:t>
    </w:r>
    <w:r>
      <w:rPr>
        <w:rFonts w:ascii="Calibri" w:cs="Calibri" w:eastAsia="Calibri" w:hAnsi="Calibri"/>
        <w:color w:val="8D8D8D"/>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3" w:space="4"/>
      </w:pBdr>
      <w:spacing w:after="0"/>
      <w:jc w:val="right"/>
    </w:pPr>
    <w:r>
      <w:rPr>
        <w:rFonts w:ascii="Calibri" w:cs="Calibri" w:eastAsia="Calibri" w:hAnsi="Calibri"/>
        <w:b/>
        <w:bCs/>
        <w:i w:val="false"/>
        <w:iCs w:val="false"/>
        <w:color w:val="8D8D8D"/>
        <w:sz w:val="14"/>
        <w:szCs w:val="14"/>
      </w:rPr>
      <w:t xml:space="preserve">IBM × HORIZON BCBS  |  AI-FIRST TRANSFORMATION  |  EXECUTIVE SUMMARY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header" Target="header20.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footer" Target="footer23.xml"/><Relationship Id="rId53" Type="http://schemas.openxmlformats.org/officeDocument/2006/relationships/header" Target="header24.xml"/><Relationship Id="rId54" Type="http://schemas.openxmlformats.org/officeDocument/2006/relationships/footer" Target="footer24.xml"/><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AI-First Transformation — Executive Summary</dc:title>
  <dc:creator>IBM Consulting</dc:creator>
  <cp:lastModifiedBy>Un-named</cp:lastModifiedBy>
  <cp:revision>1</cp:revision>
  <dcterms:created xsi:type="dcterms:W3CDTF">2026-04-16T06:04:03.327Z</dcterms:created>
  <dcterms:modified xsi:type="dcterms:W3CDTF">2026-04-16T06:04:03.327Z</dcterms:modified>
</cp:coreProperties>
</file>

<file path=docProps/custom.xml><?xml version="1.0" encoding="utf-8"?>
<Properties xmlns="http://schemas.openxmlformats.org/officeDocument/2006/custom-properties" xmlns:vt="http://schemas.openxmlformats.org/officeDocument/2006/docPropsVTypes"/>
</file>