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rPr>
        <w:t xml:space="preserve"/>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W w:type="dxa" w:w="9072"/>
            <w:tcBorders>
              <w:top w:val="single" w:color="FFFFFF" w:sz="0"/>
              <w:left w:val="single" w:color="FFFFFF" w:sz="0"/>
              <w:bottom w:val="single" w:color="FFFFFF" w:sz="0"/>
              <w:right w:val="single" w:color="FFFFFF" w:sz="0"/>
            </w:tcBorders>
            <w:shd w:fill="0F62FE" w:val="clear"/>
          </w:tcPr>
          <w:p>
            <w:pPr>
              <w:spacing w:after="0"/>
            </w:pPr>
            <w:r>
              <w:rPr>
                <w:rFonts w:ascii="Calibri" w:cs="Calibri" w:eastAsia="Calibri" w:hAnsi="Calibri"/>
              </w:rPr>
              <w:t xml:space="preserve"/>
            </w:r>
          </w:p>
        </w:tc>
      </w:tr>
    </w:tbl>
    <w:p>
      <w:pPr>
        <w:spacing w:after="40"/>
      </w:pPr>
      <w:r>
        <w:rPr>
          <w:rFonts w:ascii="Calibri" w:cs="Calibri" w:eastAsia="Calibri" w:hAnsi="Calibri"/>
        </w:rPr>
        <w:t xml:space="preserve"/>
      </w:r>
    </w:p>
    <w:p>
      <w:pPr>
        <w:spacing w:after="80"/>
        <w:jc w:val="left"/>
      </w:pPr>
      <w:r>
        <w:rPr>
          <w:rFonts w:ascii="Calibri" w:cs="Calibri" w:eastAsia="Calibri" w:hAnsi="Calibri"/>
          <w:b/>
          <w:bCs/>
          <w:color w:val="0F62FE"/>
          <w:spacing w:val="180"/>
          <w:sz w:val="22"/>
          <w:szCs w:val="22"/>
        </w:rPr>
        <w:t xml:space="preserve">AI-FIRST APPLICATION MANAGEMENT SERVICES</w:t>
      </w:r>
    </w:p>
    <w:p>
      <w:pPr>
        <w:spacing w:after="60"/>
        <w:jc w:val="left"/>
      </w:pPr>
      <w:r>
        <w:rPr>
          <w:rFonts w:ascii="Calibri" w:cs="Calibri" w:eastAsia="Calibri" w:hAnsi="Calibri"/>
          <w:b/>
          <w:bCs/>
          <w:color w:val="001141"/>
          <w:sz w:val="72"/>
          <w:szCs w:val="72"/>
        </w:rPr>
        <w:t xml:space="preserve">Transforming Horizon BCBS</w:t>
      </w:r>
    </w:p>
    <w:p>
      <w:pPr>
        <w:spacing w:after="360"/>
        <w:jc w:val="left"/>
      </w:pPr>
      <w:r>
        <w:rPr>
          <w:rFonts w:ascii="Calibri" w:cs="Calibri" w:eastAsia="Calibri" w:hAnsi="Calibri"/>
          <w:color w:val="6F6F6F"/>
          <w:sz w:val="38"/>
          <w:szCs w:val="38"/>
        </w:rPr>
        <w:t xml:space="preserve">Into a Predictive, Self-Healing, AI-Driven Enterprise</w:t>
      </w:r>
    </w:p>
    <w:p>
      <w:pPr>
        <w:pBdr>
          <w:bottom w:val="single" w:color="0F62FE" w:sz="6" w:space="4"/>
        </w:pBdr>
        <w:spacing w:after="100" w:before="100"/>
      </w:pP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80"/>
            </w:pPr>
            <w:r>
              <w:rPr>
                <w:rFonts w:ascii="Calibri" w:cs="Calibri" w:eastAsia="Calibri" w:hAnsi="Calibri"/>
                <w:b/>
                <w:bCs/>
                <w:color w:val="6F6F6F"/>
                <w:sz w:val="22"/>
                <w:szCs w:val="22"/>
              </w:rPr>
              <w:t xml:space="preserve">Submitted by:</w:t>
            </w:r>
          </w:p>
          <w:p>
            <w:pPr>
              <w:spacing w:after="40"/>
            </w:pPr>
            <w:r>
              <w:rPr>
                <w:rFonts w:ascii="Calibri" w:cs="Calibri" w:eastAsia="Calibri" w:hAnsi="Calibri"/>
                <w:b/>
                <w:bCs/>
                <w:color w:val="001141"/>
                <w:sz w:val="32"/>
                <w:szCs w:val="32"/>
              </w:rPr>
              <w:t xml:space="preserve">IBM Consulting</w:t>
            </w:r>
          </w:p>
          <w:p>
            <w:pPr>
              <w:spacing w:after="200"/>
            </w:pPr>
            <w:r>
              <w:rPr>
                <w:rFonts w:ascii="Calibri" w:cs="Calibri" w:eastAsia="Calibri" w:hAnsi="Calibri"/>
                <w:color w:val="21272A"/>
                <w:sz w:val="22"/>
                <w:szCs w:val="22"/>
              </w:rPr>
              <w:t xml:space="preserve">Healthcare &amp; Payer Delivery — AMS Practice</w:t>
            </w:r>
          </w:p>
          <w:p>
            <w:pPr>
              <w:spacing w:after="80"/>
            </w:pPr>
            <w:r>
              <w:rPr>
                <w:rFonts w:ascii="Calibri" w:cs="Calibri" w:eastAsia="Calibri" w:hAnsi="Calibri"/>
                <w:b/>
                <w:bCs/>
                <w:color w:val="6F6F6F"/>
                <w:sz w:val="22"/>
                <w:szCs w:val="22"/>
              </w:rPr>
              <w:t xml:space="preserve">Submitted to:</w:t>
            </w:r>
          </w:p>
          <w:p>
            <w:pPr>
              <w:spacing w:after="40"/>
            </w:pPr>
            <w:r>
              <w:rPr>
                <w:rFonts w:ascii="Calibri" w:cs="Calibri" w:eastAsia="Calibri" w:hAnsi="Calibri"/>
                <w:b/>
                <w:bCs/>
                <w:color w:val="001141"/>
                <w:sz w:val="24"/>
                <w:szCs w:val="24"/>
              </w:rPr>
              <w:t xml:space="preserve">Horizon Blue Cross Blue Shield of New Jersey</w:t>
            </w:r>
          </w:p>
          <w:p>
            <w:pPr>
              <w:spacing w:after="0"/>
            </w:pPr>
            <w:r>
              <w:rPr>
                <w:rFonts w:ascii="Calibri" w:cs="Calibri" w:eastAsia="Calibri" w:hAnsi="Calibri"/>
                <w:color w:val="21272A"/>
                <w:sz w:val="22"/>
                <w:szCs w:val="22"/>
              </w:rPr>
              <w:t xml:space="preserve">Executive Leadership &amp; Technology Office</w:t>
            </w:r>
          </w:p>
        </w:tc>
        <w:tc>
          <w:tcPr>
            <w:tcW w:type="dxa" w:w="4320"/>
            <w:tcBorders>
              <w:top w:val="single" w:color="FFFFFF" w:sz="0"/>
              <w:left w:val="single" w:color="FFFFFF" w:sz="0"/>
              <w:bottom w:val="single" w:color="FFFFFF" w:sz="0"/>
              <w:right w:val="single" w:color="FFFFFF" w:sz="0"/>
            </w:tcBorders>
            <w:tcMar>
              <w:left w:type="dxa" w:w="220"/>
            </w:tcMar>
          </w:tcPr>
          <w:p>
            <w:pPr>
              <w:spacing w:after="80"/>
            </w:pPr>
            <w:r>
              <w:rPr>
                <w:rFonts w:ascii="Calibri" w:cs="Calibri" w:eastAsia="Calibri" w:hAnsi="Calibri"/>
                <w:b/>
                <w:bCs/>
                <w:color w:val="6F6F6F"/>
                <w:sz w:val="22"/>
                <w:szCs w:val="22"/>
              </w:rPr>
              <w:t xml:space="preserve">Document Classification:</w:t>
            </w:r>
          </w:p>
          <w:p>
            <w:pPr>
              <w:spacing w:after="120"/>
            </w:pPr>
            <w:r>
              <w:rPr>
                <w:rFonts w:ascii="Calibri" w:cs="Calibri" w:eastAsia="Calibri" w:hAnsi="Calibri"/>
                <w:b/>
                <w:bCs/>
                <w:color w:val="DA1E28"/>
                <w:sz w:val="26"/>
                <w:szCs w:val="26"/>
              </w:rPr>
              <w:t xml:space="preserve">CONFIDENTIAL</w:t>
            </w:r>
          </w:p>
          <w:p>
            <w:pPr>
              <w:spacing w:after="80"/>
            </w:pPr>
            <w:r>
              <w:rPr>
                <w:rFonts w:ascii="Calibri" w:cs="Calibri" w:eastAsia="Calibri" w:hAnsi="Calibri"/>
                <w:b/>
                <w:bCs/>
                <w:color w:val="6F6F6F"/>
                <w:sz w:val="22"/>
                <w:szCs w:val="22"/>
              </w:rPr>
              <w:t xml:space="preserve">Date:</w:t>
            </w:r>
          </w:p>
          <w:p>
            <w:pPr>
              <w:spacing w:after="120"/>
            </w:pPr>
            <w:r>
              <w:rPr>
                <w:rFonts w:ascii="Calibri" w:cs="Calibri" w:eastAsia="Calibri" w:hAnsi="Calibri"/>
                <w:color w:val="21272A"/>
                <w:sz w:val="22"/>
                <w:szCs w:val="22"/>
              </w:rPr>
              <w:t xml:space="preserve">April 2026</w:t>
            </w:r>
          </w:p>
          <w:p>
            <w:pPr>
              <w:spacing w:after="80"/>
            </w:pPr>
            <w:r>
              <w:rPr>
                <w:rFonts w:ascii="Calibri" w:cs="Calibri" w:eastAsia="Calibri" w:hAnsi="Calibri"/>
                <w:b/>
                <w:bCs/>
                <w:color w:val="6F6F6F"/>
                <w:sz w:val="22"/>
                <w:szCs w:val="22"/>
              </w:rPr>
              <w:t xml:space="preserve">Reference:</w:t>
            </w:r>
          </w:p>
          <w:p>
            <w:pPr>
              <w:spacing w:after="0"/>
            </w:pPr>
            <w:r>
              <w:rPr>
                <w:rFonts w:ascii="Calibri" w:cs="Calibri" w:eastAsia="Calibri" w:hAnsi="Calibri"/>
                <w:color w:val="21272A"/>
                <w:sz w:val="22"/>
                <w:szCs w:val="22"/>
              </w:rPr>
              <w:t xml:space="preserve">IBM-HZN-AMS-RFP-2026-CAS</w:t>
            </w:r>
          </w:p>
        </w:tc>
      </w:tr>
    </w:tbl>
    <w:p>
      <w:pPr>
        <w:spacing w:after="40"/>
      </w:pPr>
      <w:r>
        <w:rPr>
          <w:rFonts w:ascii="Calibri" w:cs="Calibri" w:eastAsia="Calibri" w:hAnsi="Calibri"/>
        </w:rPr>
        <w:t xml:space="preserve"/>
      </w:r>
    </w:p>
    <w:p>
      <w:pPr>
        <w:spacing w:after="40"/>
      </w:pPr>
      <w:r>
        <w:rPr>
          <w:rFonts w:ascii="Calibri" w:cs="Calibri" w:eastAsia="Calibri" w:hAnsi="Calibri"/>
        </w:rPr>
        <w:t xml:space="preserve"/>
      </w:r>
    </w:p>
    <w:p>
      <w:pPr>
        <w:spacing w:after="40"/>
      </w:pPr>
      <w:r>
        <w:rPr>
          <w:rFonts w:ascii="Calibri" w:cs="Calibri" w:eastAsia="Calibri" w:hAnsi="Calibri"/>
        </w:rPr>
        <w:t xml:space="preserve"/>
      </w:r>
    </w:p>
    <w:p>
      <w:pPr>
        <w:spacing w:after="40"/>
      </w:pPr>
      <w:r>
        <w:rPr>
          <w:rFonts w:ascii="Calibri" w:cs="Calibri" w:eastAsia="Calibri" w:hAnsi="Calibri"/>
        </w:rPr>
        <w:t xml:space="preserve"/>
      </w:r>
    </w:p>
    <w:p>
      <w:pPr>
        <w:jc w:val="center"/>
      </w:pPr>
      <w:r>
        <w:rPr>
          <w:rFonts w:ascii="Calibri" w:cs="Calibri" w:eastAsia="Calibri" w:hAnsi="Calibri"/>
          <w:i/>
          <w:iCs/>
          <w:color w:val="6F6F6F"/>
          <w:sz w:val="17"/>
          <w:szCs w:val="17"/>
        </w:rPr>
        <w:t xml:space="preserve">Powered by IBM AIOps  ·  IBM Consulting Advantage  ·  HIPAA Compliant  ·  © 2026 IBM Corporation</w:t>
      </w:r>
    </w:p>
    <w:p>
      <w:r>
        <w:br w:type="page"/>
      </w:r>
    </w:p>
    <w:p>
      <w:pPr>
        <w:pBdr>
          <w:bottom w:val="single" w:color="0F62FE" w:sz="4" w:space="4"/>
        </w:pBdr>
        <w:spacing w:after="80" w:before="240"/>
      </w:pPr>
      <w:r>
        <w:rPr>
          <w:rFonts w:ascii="Calibri" w:cs="Calibri" w:eastAsia="Calibri" w:hAnsi="Calibri"/>
          <w:b/>
          <w:bCs/>
          <w:color w:val="001141"/>
          <w:sz w:val="44"/>
          <w:szCs w:val="44"/>
        </w:rPr>
        <w:t xml:space="preserve">Executive Summary</w:t>
      </w:r>
    </w:p>
    <w:p>
      <w:pPr>
        <w:spacing w:after="200"/>
      </w:pPr>
      <w:r>
        <w:rPr>
          <w:rFonts w:ascii="Calibri" w:cs="Calibri" w:eastAsia="Calibri" w:hAnsi="Calibri"/>
          <w:i/>
          <w:iCs/>
          <w:color w:val="6F6F6F"/>
          <w:sz w:val="22"/>
          <w:szCs w:val="22"/>
        </w:rPr>
        <w:t xml:space="preserve">A Strategic Proposal for AI-Led Transformation of Application Management Services</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FFFFFF" w:sz="0"/>
              <w:left w:val="single" w:color="0F62FE" w:sz="28"/>
              <w:bottom w:val="single" w:color="FFFFFF" w:sz="0"/>
              <w:right w:val="single" w:color="FFFFFF" w:sz="0"/>
            </w:tcBorders>
            <w:shd w:fill="D0E2FF" w:val="clear"/>
            <w:tcMar>
              <w:top w:type="dxa" w:w="160"/>
              <w:left w:type="dxa" w:w="280"/>
              <w:bottom w:type="dxa" w:w="160"/>
              <w:right w:type="dxa" w:w="280"/>
            </w:tcMar>
          </w:tcPr>
          <w:p>
            <w:pPr>
              <w:spacing w:after="80" w:before="80"/>
              <w:jc w:val="center"/>
            </w:pPr>
            <w:r>
              <w:rPr>
                <w:rFonts w:ascii="Calibri" w:cs="Calibri" w:eastAsia="Calibri" w:hAnsi="Calibri"/>
                <w:color w:val="001141"/>
                <w:sz w:val="23"/>
                <w:szCs w:val="23"/>
              </w:rPr>
              <w:t xml:space="preserve">"IBM is not proposing a technology project — IBM is proposing a </w:t>
            </w:r>
            <w:r>
              <w:rPr>
                <w:rFonts w:ascii="Calibri" w:cs="Calibri" w:eastAsia="Calibri" w:hAnsi="Calibri"/>
                <w:b/>
                <w:bCs/>
                <w:color w:val="0F62FE"/>
                <w:sz w:val="23"/>
                <w:szCs w:val="23"/>
              </w:rPr>
              <w:t xml:space="preserve">transformation partnership</w:t>
            </w:r>
            <w:r>
              <w:rPr>
                <w:rFonts w:ascii="Calibri" w:cs="Calibri" w:eastAsia="Calibri" w:hAnsi="Calibri"/>
                <w:color w:val="001141"/>
                <w:sz w:val="23"/>
                <w:szCs w:val="23"/>
              </w:rPr>
              <w:t xml:space="preserve"> that embeds AI-driven intelligence into the operating model of Horizon BCBS, enabling a future-ready enterprise that is </w:t>
            </w:r>
            <w:r>
              <w:rPr>
                <w:rFonts w:ascii="Calibri" w:cs="Calibri" w:eastAsia="Calibri" w:hAnsi="Calibri"/>
                <w:b/>
                <w:bCs/>
                <w:color w:val="0F62FE"/>
                <w:sz w:val="23"/>
                <w:szCs w:val="23"/>
              </w:rPr>
              <w:t xml:space="preserve">faster, smarter, and more resilient</w:t>
            </w:r>
            <w:r>
              <w:rPr>
                <w:rFonts w:ascii="Calibri" w:cs="Calibri" w:eastAsia="Calibri" w:hAnsi="Calibri"/>
                <w:color w:val="001141"/>
                <w:sz w:val="23"/>
                <w:szCs w:val="23"/>
              </w:rPr>
              <w:t xml:space="preserve"> than today."</w:t>
            </w:r>
          </w:p>
        </w:tc>
      </w:tr>
    </w:tbl>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100" w:before="80"/>
            </w:pPr>
            <w:r>
              <w:rPr>
                <w:rFonts w:ascii="Calibri" w:cs="Calibri" w:eastAsia="Calibri" w:hAnsi="Calibri"/>
                <w:b/>
                <w:bCs/>
                <w:color w:val="001141"/>
                <w:sz w:val="26"/>
                <w:szCs w:val="26"/>
              </w:rPr>
              <w:t xml:space="preserve">The Moment</w:t>
            </w:r>
          </w:p>
          <w:p>
            <w:pPr>
              <w:spacing w:after="100"/>
              <w:jc w:val="both"/>
            </w:pPr>
            <w:r>
              <w:rPr>
                <w:rFonts w:ascii="Calibri" w:cs="Calibri" w:eastAsia="Calibri" w:hAnsi="Calibri"/>
                <w:color w:val="21272A"/>
                <w:sz w:val="20"/>
                <w:szCs w:val="20"/>
              </w:rPr>
              <w:t xml:space="preserve">Horizon BCBS stands at a pivotal inflection point. With approximately 500 applications spanning enrollment, claims adjudication, member services, and data platforms, the organisation faces mounting pressure to modernise operations, reduce administrative burden, and deliver measurably better member and provider experiences.</w:t>
            </w:r>
          </w:p>
          <w:p>
            <w:pPr>
              <w:spacing w:after="100"/>
              <w:jc w:val="both"/>
            </w:pPr>
            <w:r>
              <w:rPr>
                <w:rFonts w:ascii="Calibri" w:cs="Calibri" w:eastAsia="Calibri" w:hAnsi="Calibri"/>
                <w:color w:val="21272A"/>
                <w:sz w:val="20"/>
                <w:szCs w:val="20"/>
              </w:rPr>
              <w:t xml:space="preserve">The incumbent delivery model — reactive, labour-intensive, and fragmented across towers — is no longer sufficient to meet Horizon's growth objectives or competitive imperatives.</w:t>
            </w:r>
          </w:p>
          <w:p>
            <w:pPr>
              <w:pBdr>
                <w:left w:val="single" w:color="0F62FE" w:sz="20" w:space="8"/>
              </w:pBdr>
              <w:spacing w:after="80" w:before="180"/>
              <w:ind w:left="120"/>
            </w:pPr>
            <w:r>
              <w:rPr>
                <w:rFonts w:ascii="Calibri" w:cs="Calibri" w:eastAsia="Calibri" w:hAnsi="Calibri"/>
                <w:b/>
                <w:bCs/>
                <w:color w:val="0F62FE"/>
                <w:sz w:val="22"/>
                <w:szCs w:val="22"/>
              </w:rPr>
              <w:t xml:space="preserve">What IBM Proposes</w:t>
            </w:r>
          </w:p>
          <w:p>
            <w:pPr>
              <w:spacing w:after="100"/>
              <w:jc w:val="both"/>
            </w:pPr>
            <w:r>
              <w:rPr>
                <w:rFonts w:ascii="Calibri" w:cs="Calibri" w:eastAsia="Calibri" w:hAnsi="Calibri"/>
                <w:color w:val="21272A"/>
                <w:sz w:val="20"/>
                <w:szCs w:val="20"/>
              </w:rPr>
              <w:t xml:space="preserve">IBM proposes a structured transition from reactive application support to a predictive, self-healing, and continuously improving AI-first operating model — delivered through IBM's proven Assets, Assistants, and Accelerators framework, and governed through an outcome-based accountability model.</w:t>
            </w:r>
          </w:p>
          <w:p>
            <w:pPr>
              <w:pBdr>
                <w:left w:val="single" w:color="0F62FE" w:sz="20" w:space="8"/>
              </w:pBdr>
              <w:spacing w:after="80" w:before="180"/>
              <w:ind w:left="120"/>
            </w:pPr>
            <w:r>
              <w:rPr>
                <w:rFonts w:ascii="Calibri" w:cs="Calibri" w:eastAsia="Calibri" w:hAnsi="Calibri"/>
                <w:b/>
                <w:bCs/>
                <w:color w:val="0F62FE"/>
                <w:sz w:val="22"/>
                <w:szCs w:val="22"/>
              </w:rPr>
              <w:t xml:space="preserve">Value Realization — Live Portal Metrics</w:t>
            </w:r>
          </w:p>
          <w:p>
            <w:pPr>
              <w:spacing w:after="100"/>
              <w:jc w:val="both"/>
            </w:pPr>
            <w:r>
              <w:rPr>
                <w:rFonts w:ascii="Calibri" w:cs="Calibri" w:eastAsia="Calibri" w:hAnsi="Calibri"/>
                <w:color w:val="21272A"/>
                <w:sz w:val="20"/>
                <w:szCs w:val="20"/>
              </w:rPr>
              <w:t xml:space="preserve">CareOps360, IBM's purpose-built executive command centre, surfaces live operational intelligence across all AMS towers. The metrics below are drawn directly from the running production-equivalent environment as of April 2026:</w:t>
            </w:r>
          </w:p>
          <w:p>
            <w:pPr>
              <w:spacing w:after="40" w:before="60"/>
            </w:pPr>
            <w:r>
              <w:rPr>
                <w:rFonts w:ascii="Calibri" w:cs="Calibri" w:eastAsia="Calibri" w:hAnsi="Calibri"/>
                <w:b/>
                <w:bCs/>
                <w:color w:val="0F62FE"/>
                <w:sz w:val="22"/>
                <w:szCs w:val="22"/>
              </w:rPr>
              <w:t xml:space="preserve">4.29M </w:t>
            </w:r>
            <w:r>
              <w:rPr>
                <w:rFonts w:ascii="Calibri" w:cs="Calibri" w:eastAsia="Calibri" w:hAnsi="Calibri"/>
                <w:color w:val="21272A"/>
                <w:sz w:val="20"/>
                <w:szCs w:val="20"/>
              </w:rPr>
              <w:t xml:space="preserve">Active Members under management  </w:t>
            </w:r>
            <w:r>
              <w:rPr>
                <w:rFonts w:ascii="Calibri" w:cs="Calibri" w:eastAsia="Calibri" w:hAnsi="Calibri"/>
                <w:b/>
                <w:bCs/>
                <w:color w:val="0F62FE"/>
                <w:sz w:val="22"/>
                <w:szCs w:val="22"/>
              </w:rPr>
              <w:t xml:space="preserve">$1.69B </w:t>
            </w:r>
            <w:r>
              <w:rPr>
                <w:rFonts w:ascii="Calibri" w:cs="Calibri" w:eastAsia="Calibri" w:hAnsi="Calibri"/>
                <w:color w:val="21272A"/>
                <w:sz w:val="20"/>
                <w:szCs w:val="20"/>
              </w:rPr>
              <w:t xml:space="preserve">Claims settled (7 days)</w:t>
            </w:r>
          </w:p>
          <w:p>
            <w:pPr>
              <w:spacing w:after="40" w:before="40"/>
            </w:pPr>
            <w:r>
              <w:rPr>
                <w:rFonts w:ascii="Calibri" w:cs="Calibri" w:eastAsia="Calibri" w:hAnsi="Calibri"/>
                <w:b/>
                <w:bCs/>
                <w:color w:val="198038"/>
                <w:sz w:val="22"/>
                <w:szCs w:val="22"/>
              </w:rPr>
              <w:t xml:space="preserve">99.4% </w:t>
            </w:r>
            <w:r>
              <w:rPr>
                <w:rFonts w:ascii="Calibri" w:cs="Calibri" w:eastAsia="Calibri" w:hAnsi="Calibri"/>
                <w:color w:val="21272A"/>
                <w:sz w:val="20"/>
                <w:szCs w:val="20"/>
              </w:rPr>
              <w:t xml:space="preserve">Application availability  </w:t>
            </w:r>
            <w:r>
              <w:rPr>
                <w:rFonts w:ascii="Calibri" w:cs="Calibri" w:eastAsia="Calibri" w:hAnsi="Calibri"/>
                <w:b/>
                <w:bCs/>
                <w:color w:val="198038"/>
                <w:sz w:val="22"/>
                <w:szCs w:val="22"/>
              </w:rPr>
              <w:t xml:space="preserve">96.8% </w:t>
            </w:r>
            <w:r>
              <w:rPr>
                <w:rFonts w:ascii="Calibri" w:cs="Calibri" w:eastAsia="Calibri" w:hAnsi="Calibri"/>
                <w:color w:val="21272A"/>
                <w:sz w:val="20"/>
                <w:szCs w:val="20"/>
              </w:rPr>
              <w:t xml:space="preserve">SLA attainment</w:t>
            </w:r>
          </w:p>
          <w:p>
            <w:pPr>
              <w:spacing w:after="80" w:before="40"/>
            </w:pPr>
            <w:r>
              <w:rPr>
                <w:rFonts w:ascii="Calibri" w:cs="Calibri" w:eastAsia="Calibri" w:hAnsi="Calibri"/>
                <w:b/>
                <w:bCs/>
                <w:color w:val="009D9A"/>
                <w:sz w:val="22"/>
                <w:szCs w:val="22"/>
              </w:rPr>
              <w:t xml:space="preserve">$3.2M </w:t>
            </w:r>
            <w:r>
              <w:rPr>
                <w:rFonts w:ascii="Calibri" w:cs="Calibri" w:eastAsia="Calibri" w:hAnsi="Calibri"/>
                <w:color w:val="21272A"/>
                <w:sz w:val="20"/>
                <w:szCs w:val="20"/>
              </w:rPr>
              <w:t xml:space="preserve">YTD automation savings  </w:t>
            </w:r>
            <w:r>
              <w:rPr>
                <w:rFonts w:ascii="Calibri" w:cs="Calibri" w:eastAsia="Calibri" w:hAnsi="Calibri"/>
                <w:b/>
                <w:bCs/>
                <w:color w:val="009D9A"/>
                <w:sz w:val="22"/>
                <w:szCs w:val="22"/>
              </w:rPr>
              <w:t xml:space="preserve">47 sec </w:t>
            </w:r>
            <w:r>
              <w:rPr>
                <w:rFonts w:ascii="Calibri" w:cs="Calibri" w:eastAsia="Calibri" w:hAnsi="Calibri"/>
                <w:color w:val="21272A"/>
                <w:sz w:val="20"/>
                <w:szCs w:val="20"/>
              </w:rPr>
              <w:t xml:space="preserve">Call Centre ASA</w:t>
            </w:r>
          </w:p>
          <w:p>
            <w:pPr>
              <w:spacing w:after="80" w:before="40"/>
            </w:pPr>
            <w:r>
              <w:rPr>
                <w:rFonts w:ascii="Calibri" w:cs="Calibri" w:eastAsia="Calibri" w:hAnsi="Calibri"/>
                <w:b/>
                <w:bCs/>
                <w:color w:val="001141"/>
                <w:sz w:val="22"/>
                <w:szCs w:val="22"/>
              </w:rPr>
              <w:t xml:space="preserve">$12M+ </w:t>
            </w:r>
            <w:r>
              <w:rPr>
                <w:rFonts w:ascii="Calibri" w:cs="Calibri" w:eastAsia="Calibri" w:hAnsi="Calibri"/>
                <w:color w:val="21272A"/>
                <w:sz w:val="20"/>
                <w:szCs w:val="20"/>
              </w:rPr>
              <w:t xml:space="preserve">Projected annual AIOps savings at full deployment</w:t>
            </w:r>
          </w:p>
        </w:tc>
        <w:tc>
          <w:tcPr>
            <w:tcW w:type="dxa" w:w="4320"/>
            <w:tcBorders>
              <w:top w:val="single" w:color="FFFFFF" w:sz="0"/>
              <w:left w:val="single" w:color="FFFFFF" w:sz="0"/>
              <w:bottom w:val="single" w:color="FFFFFF" w:sz="0"/>
              <w:right w:val="single" w:color="FFFFFF" w:sz="0"/>
            </w:tcBorders>
            <w:tcMar>
              <w:left w:type="dxa" w:w="220"/>
            </w:tcMar>
          </w:tcPr>
          <w:p>
            <w:pPr>
              <w:spacing w:after="40" w:before="60"/>
              <w:jc w:val="center"/>
            </w:pPr>
            <w:r>
              <w:drawing>
                <wp:inline distT="0" distB="0" distL="0" distR="0">
                  <wp:extent cx="28098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09875" cy="1752600"/>
                          </a:xfrm>
                          <a:prstGeom prst="rect">
                            <a:avLst/>
                          </a:prstGeom>
                        </pic:spPr>
                      </pic:pic>
                    </a:graphicData>
                  </a:graphic>
                </wp:inline>
              </w:drawing>
            </w:r>
          </w:p>
          <w:p>
            <w:pPr>
              <w:spacing w:after="100"/>
              <w:jc w:val="center"/>
            </w:pPr>
            <w:r>
              <w:rPr>
                <w:rFonts w:ascii="Calibri" w:cs="Calibri" w:eastAsia="Calibri" w:hAnsi="Calibri"/>
                <w:i/>
                <w:iCs/>
                <w:color w:val="6F6F6F"/>
                <w:sz w:val="15"/>
                <w:szCs w:val="15"/>
              </w:rPr>
              <w:t xml:space="preserve">Figure 1: CareOps360 Executive Dashboard — live operations as of April 13, 2026</w:t>
            </w:r>
          </w:p>
          <w:p>
            <w:pPr>
              <w:spacing w:after="80" w:before="80"/>
            </w:pPr>
            <w:r>
              <w:rPr>
                <w:rFonts w:ascii="Calibri" w:cs="Calibri" w:eastAsia="Calibri" w:hAnsi="Calibri"/>
                <w:b/>
                <w:bCs/>
                <w:color w:val="001141"/>
                <w:sz w:val="24"/>
                <w:szCs w:val="24"/>
              </w:rPr>
              <w:t xml:space="preserve">Five Strategic Commitments</w:t>
            </w:r>
          </w:p>
          <w:p>
            <w:pPr>
              <w:pStyle w:val="ListParagraph"/>
              <w:numPr>
                <w:ilvl w:val="0"/>
                <w:numId w:val="1"/>
              </w:numPr>
              <w:spacing w:after="80"/>
              <w:ind w:left="360"/>
            </w:pPr>
            <w:r>
              <w:rPr>
                <w:rFonts w:ascii="Calibri" w:cs="Calibri" w:eastAsia="Calibri" w:hAnsi="Calibri"/>
                <w:color w:val="21272A"/>
                <w:sz w:val="20"/>
                <w:szCs w:val="20"/>
              </w:rPr>
              <w:t xml:space="preserve">AI-First Operating Model — AI embedded across every layer of AMS and QA lifecycle.</w:t>
            </w:r>
          </w:p>
          <w:p>
            <w:pPr>
              <w:pStyle w:val="ListParagraph"/>
              <w:numPr>
                <w:ilvl w:val="0"/>
                <w:numId w:val="1"/>
              </w:numPr>
              <w:spacing w:after="80"/>
              <w:ind w:left="360"/>
            </w:pPr>
            <w:r>
              <w:rPr>
                <w:rFonts w:ascii="Calibri" w:cs="Calibri" w:eastAsia="Calibri" w:hAnsi="Calibri"/>
                <w:color w:val="21272A"/>
                <w:sz w:val="20"/>
                <w:szCs w:val="20"/>
              </w:rPr>
              <w:t xml:space="preserve">Tech Arbitrage over Labour Arbitrage — Compressing cost through automation, not headcount.</w:t>
            </w:r>
          </w:p>
          <w:p>
            <w:pPr>
              <w:pStyle w:val="ListParagraph"/>
              <w:numPr>
                <w:ilvl w:val="0"/>
                <w:numId w:val="1"/>
              </w:numPr>
              <w:spacing w:after="80"/>
              <w:ind w:left="360"/>
            </w:pPr>
            <w:r>
              <w:rPr>
                <w:rFonts w:ascii="Calibri" w:cs="Calibri" w:eastAsia="Calibri" w:hAnsi="Calibri"/>
                <w:color w:val="21272A"/>
                <w:sz w:val="20"/>
                <w:szCs w:val="20"/>
              </w:rPr>
              <w:t xml:space="preserve">Outcome-Based Delivery — Committed SLAs tied to measurable business outcomes.</w:t>
            </w:r>
          </w:p>
          <w:p>
            <w:pPr>
              <w:pStyle w:val="ListParagraph"/>
              <w:numPr>
                <w:ilvl w:val="0"/>
                <w:numId w:val="1"/>
              </w:numPr>
              <w:spacing w:after="80"/>
              <w:ind w:left="360"/>
            </w:pPr>
            <w:r>
              <w:rPr>
                <w:rFonts w:ascii="Calibri" w:cs="Calibri" w:eastAsia="Calibri" w:hAnsi="Calibri"/>
                <w:color w:val="21272A"/>
                <w:sz w:val="20"/>
                <w:szCs w:val="20"/>
              </w:rPr>
              <w:t xml:space="preserve">Zero-Disruption Transition — Risk-free phased transition protecting operational continuity.</w:t>
            </w:r>
          </w:p>
          <w:p>
            <w:pPr>
              <w:pStyle w:val="ListParagraph"/>
              <w:numPr>
                <w:ilvl w:val="0"/>
                <w:numId w:val="1"/>
              </w:numPr>
              <w:spacing w:after="80"/>
              <w:ind w:left="360"/>
            </w:pPr>
            <w:r>
              <w:rPr>
                <w:rFonts w:ascii="Calibri" w:cs="Calibri" w:eastAsia="Calibri" w:hAnsi="Calibri"/>
                <w:color w:val="21272A"/>
                <w:sz w:val="20"/>
                <w:szCs w:val="20"/>
              </w:rPr>
              <w:t xml:space="preserve">Continuous Innovation Engine — Horizon Innovation Council driving sustained value beyond steady state.</w:t>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0F62FE" w:sz="4"/>
                    <w:left w:val="single" w:color="0F62FE" w:sz="28"/>
                    <w:bottom w:val="single" w:color="0F62FE" w:sz="4"/>
                    <w:right w:val="single" w:color="0F62FE" w:sz="4"/>
                  </w:tcBorders>
                  <w:shd w:fill="D0E2FF" w:val="clear"/>
                  <w:tcMar>
                    <w:top w:type="dxa" w:w="140"/>
                    <w:left w:type="dxa" w:w="200"/>
                    <w:bottom w:type="dxa" w:w="140"/>
                    <w:right w:type="dxa" w:w="200"/>
                  </w:tcMar>
                </w:tcPr>
                <w:p>
                  <w:pPr>
                    <w:spacing w:after="80"/>
                  </w:pPr>
                  <w:r>
                    <w:rPr>
                      <w:rFonts w:ascii="Calibri" w:cs="Calibri" w:eastAsia="Calibri" w:hAnsi="Calibri"/>
                      <w:b/>
                      <w:bCs/>
                      <w:color w:val="001141"/>
                      <w:sz w:val="20"/>
                      <w:szCs w:val="20"/>
                    </w:rPr>
                    <w:t xml:space="preserve">IBM's Scale Behind This Proposal</w:t>
                  </w:r>
                </w:p>
                <w:p>
                  <w:pPr>
                    <w:spacing w:after="60"/>
                  </w:pPr>
                  <w:r>
                    <w:rPr>
                      <w:rFonts w:ascii="Calibri" w:cs="Calibri" w:eastAsia="Calibri" w:hAnsi="Calibri"/>
                      <w:color w:val="21272A"/>
                      <w:sz w:val="19"/>
                      <w:szCs w:val="19"/>
                    </w:rPr>
                    <w:t xml:space="preserve">• 20,000+ AI &amp; data practitioners globally</w:t>
                  </w:r>
                </w:p>
                <w:p>
                  <w:pPr>
                    <w:spacing w:after="60"/>
                  </w:pPr>
                  <w:r>
                    <w:rPr>
                      <w:rFonts w:ascii="Calibri" w:cs="Calibri" w:eastAsia="Calibri" w:hAnsi="Calibri"/>
                      <w:color w:val="21272A"/>
                      <w:sz w:val="19"/>
                      <w:szCs w:val="19"/>
                    </w:rPr>
                    <w:t xml:space="preserve">• 81,000+ cloud &amp; architecture experts</w:t>
                  </w:r>
                </w:p>
                <w:p>
                  <w:pPr>
                    <w:spacing w:after="60"/>
                  </w:pPr>
                  <w:r>
                    <w:rPr>
                      <w:rFonts w:ascii="Calibri" w:cs="Calibri" w:eastAsia="Calibri" w:hAnsi="Calibri"/>
                      <w:color w:val="21272A"/>
                      <w:sz w:val="19"/>
                      <w:szCs w:val="19"/>
                    </w:rPr>
                    <w:t xml:space="preserve">• 40,000+ AI &amp; analytics engagements</w:t>
                  </w:r>
                </w:p>
                <w:p>
                  <w:pPr>
                    <w:spacing w:after="60"/>
                  </w:pPr>
                  <w:r>
                    <w:rPr>
                      <w:rFonts w:ascii="Calibri" w:cs="Calibri" w:eastAsia="Calibri" w:hAnsi="Calibri"/>
                      <w:color w:val="21272A"/>
                      <w:sz w:val="19"/>
                      <w:szCs w:val="19"/>
                    </w:rPr>
                    <w:t xml:space="preserve">• 15,000+ people across 40 global delivery centres</w:t>
                  </w:r>
                </w:p>
                <w:p>
                  <w:pPr>
                    <w:spacing w:after="60"/>
                  </w:pPr>
                  <w:r>
                    <w:rPr>
                      <w:rFonts w:ascii="Calibri" w:cs="Calibri" w:eastAsia="Calibri" w:hAnsi="Calibri"/>
                      <w:color w:val="21272A"/>
                      <w:sz w:val="19"/>
                      <w:szCs w:val="19"/>
                    </w:rPr>
                    <w:t xml:space="preserve">• Leader in Enterprise Software Quality &amp; Testing</w:t>
                  </w:r>
                </w:p>
              </w:tc>
            </w:tr>
          </w:tbl>
          <w:p/>
        </w:tc>
      </w:tr>
    </w:tbl>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gridCol w:w="100"/>
        <w:gridCol w:w="100"/>
      </w:tblGrid>
      <w:tr>
        <w:tc>
          <w:tcPr>
            <w:tcW w:type="dxa" w:w="2268"/>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0F62FE"/>
                <w:sz w:val="48"/>
                <w:szCs w:val="48"/>
              </w:rPr>
              <w:t xml:space="preserve">4.29M</w:t>
            </w:r>
          </w:p>
          <w:p>
            <w:pPr>
              <w:spacing w:after="40"/>
              <w:jc w:val="center"/>
            </w:pPr>
            <w:r>
              <w:rPr>
                <w:rFonts w:ascii="Calibri" w:cs="Calibri" w:eastAsia="Calibri" w:hAnsi="Calibri"/>
                <w:color w:val="21272A"/>
                <w:sz w:val="17"/>
                <w:szCs w:val="17"/>
              </w:rPr>
              <w:t xml:space="preserve">Active Members Managed</w:t>
            </w:r>
          </w:p>
        </w:tc>
        <w:tc>
          <w:tcPr>
            <w:tcW w:type="dxa" w:w="2268"/>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009D9A"/>
                <w:sz w:val="48"/>
                <w:szCs w:val="48"/>
              </w:rPr>
              <w:t xml:space="preserve">$3.2M</w:t>
            </w:r>
          </w:p>
          <w:p>
            <w:pPr>
              <w:spacing w:after="40"/>
              <w:jc w:val="center"/>
            </w:pPr>
            <w:r>
              <w:rPr>
                <w:rFonts w:ascii="Calibri" w:cs="Calibri" w:eastAsia="Calibri" w:hAnsi="Calibri"/>
                <w:color w:val="21272A"/>
                <w:sz w:val="17"/>
                <w:szCs w:val="17"/>
              </w:rPr>
              <w:t xml:space="preserve">YTD Automation Savings</w:t>
            </w:r>
          </w:p>
        </w:tc>
        <w:tc>
          <w:tcPr>
            <w:tcW w:type="dxa" w:w="2268"/>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198038"/>
                <w:sz w:val="48"/>
                <w:szCs w:val="48"/>
              </w:rPr>
              <w:t xml:space="preserve">99.4%</w:t>
            </w:r>
          </w:p>
          <w:p>
            <w:pPr>
              <w:spacing w:after="40"/>
              <w:jc w:val="center"/>
            </w:pPr>
            <w:r>
              <w:rPr>
                <w:rFonts w:ascii="Calibri" w:cs="Calibri" w:eastAsia="Calibri" w:hAnsi="Calibri"/>
                <w:color w:val="21272A"/>
                <w:sz w:val="17"/>
                <w:szCs w:val="17"/>
              </w:rPr>
              <w:t xml:space="preserve">Application Availability</w:t>
            </w:r>
          </w:p>
        </w:tc>
        <w:tc>
          <w:tcPr>
            <w:tcW w:type="dxa" w:w="2268"/>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001141"/>
                <w:sz w:val="48"/>
                <w:szCs w:val="48"/>
              </w:rPr>
              <w:t xml:space="preserve">$12M+</w:t>
            </w:r>
          </w:p>
          <w:p>
            <w:pPr>
              <w:spacing w:after="40"/>
              <w:jc w:val="center"/>
            </w:pPr>
            <w:r>
              <w:rPr>
                <w:rFonts w:ascii="Calibri" w:cs="Calibri" w:eastAsia="Calibri" w:hAnsi="Calibri"/>
                <w:color w:val="21272A"/>
                <w:sz w:val="17"/>
                <w:szCs w:val="17"/>
              </w:rPr>
              <w:t xml:space="preserve">Projected Annual AIOps</w:t>
            </w:r>
          </w:p>
        </w:tc>
      </w:tr>
    </w:tbl>
    <w:p>
      <w:r>
        <w:br w:type="page"/>
      </w:r>
    </w:p>
    <w:p>
      <w:pPr>
        <w:pBdr>
          <w:bottom w:val="single" w:color="0F62FE" w:sz="4" w:space="4"/>
        </w:pBdr>
        <w:spacing w:after="80" w:before="240"/>
      </w:pPr>
      <w:r>
        <w:rPr>
          <w:rFonts w:ascii="Calibri" w:cs="Calibri" w:eastAsia="Calibri" w:hAnsi="Calibri"/>
          <w:b/>
          <w:bCs/>
          <w:color w:val="001141"/>
          <w:sz w:val="44"/>
          <w:szCs w:val="44"/>
        </w:rPr>
        <w:t xml:space="preserve">The Transformation Imperative</w:t>
      </w:r>
    </w:p>
    <w:p>
      <w:pPr>
        <w:spacing w:after="200"/>
      </w:pPr>
      <w:r>
        <w:rPr>
          <w:rFonts w:ascii="Calibri" w:cs="Calibri" w:eastAsia="Calibri" w:hAnsi="Calibri"/>
          <w:i/>
          <w:iCs/>
          <w:color w:val="6F6F6F"/>
          <w:sz w:val="22"/>
          <w:szCs w:val="22"/>
        </w:rPr>
        <w:t xml:space="preserve">Understanding Horizon's Strategic Objectives and IBM's Solution Design Rationale</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100" w:before="80"/>
            </w:pPr>
            <w:r>
              <w:rPr>
                <w:rFonts w:ascii="Calibri" w:cs="Calibri" w:eastAsia="Calibri" w:hAnsi="Calibri"/>
                <w:b/>
                <w:bCs/>
                <w:color w:val="001141"/>
                <w:sz w:val="26"/>
                <w:szCs w:val="26"/>
              </w:rPr>
              <w:t xml:space="preserve">What Horizon Needs</w:t>
            </w:r>
          </w:p>
          <w:p>
            <w:pPr>
              <w:spacing w:after="100"/>
              <w:jc w:val="both"/>
            </w:pPr>
            <w:r>
              <w:rPr>
                <w:rFonts w:ascii="Calibri" w:cs="Calibri" w:eastAsia="Calibri" w:hAnsi="Calibri"/>
                <w:color w:val="21272A"/>
                <w:sz w:val="20"/>
                <w:szCs w:val="20"/>
              </w:rPr>
              <w:t xml:space="preserve">Horizon BCBS is seeking the right strategic partner to enhance and support its Application Development, Maintenance, Data, and Testing Services — with a clear focus on AI solutions and expertise native to the Horizon environment.</w:t>
            </w:r>
          </w:p>
          <w:p>
            <w:pPr>
              <w:pBdr>
                <w:left w:val="single" w:color="0F62FE" w:sz="20" w:space="8"/>
              </w:pBdr>
              <w:spacing w:after="80" w:before="180"/>
              <w:ind w:left="120"/>
            </w:pPr>
            <w:r>
              <w:rPr>
                <w:rFonts w:ascii="Calibri" w:cs="Calibri" w:eastAsia="Calibri" w:hAnsi="Calibri"/>
                <w:b/>
                <w:bCs/>
                <w:color w:val="0F62FE"/>
                <w:sz w:val="22"/>
                <w:szCs w:val="22"/>
              </w:rPr>
              <w:t xml:space="preserve">Service Transformation Goals</w:t>
            </w:r>
          </w:p>
          <w:p>
            <w:pPr>
              <w:pStyle w:val="ListParagraph"/>
              <w:numPr>
                <w:ilvl w:val="0"/>
                <w:numId w:val="1"/>
              </w:numPr>
              <w:spacing w:after="80"/>
              <w:ind w:left="360"/>
            </w:pPr>
            <w:r>
              <w:rPr>
                <w:rFonts w:ascii="Calibri" w:cs="Calibri" w:eastAsia="Calibri" w:hAnsi="Calibri"/>
                <w:color w:val="21272A"/>
                <w:sz w:val="20"/>
                <w:szCs w:val="20"/>
              </w:rPr>
              <w:t xml:space="preserve">High-quality services delivered through AI and automation to obtain operational efficiencies.</w:t>
            </w:r>
          </w:p>
          <w:p>
            <w:pPr>
              <w:pStyle w:val="ListParagraph"/>
              <w:numPr>
                <w:ilvl w:val="0"/>
                <w:numId w:val="1"/>
              </w:numPr>
              <w:spacing w:after="80"/>
              <w:ind w:left="360"/>
            </w:pPr>
            <w:r>
              <w:rPr>
                <w:rFonts w:ascii="Calibri" w:cs="Calibri" w:eastAsia="Calibri" w:hAnsi="Calibri"/>
                <w:color w:val="21272A"/>
                <w:sz w:val="20"/>
                <w:szCs w:val="20"/>
              </w:rPr>
              <w:t xml:space="preserve">Realization of a product-oriented operating model.</w:t>
            </w:r>
          </w:p>
          <w:p>
            <w:pPr>
              <w:pStyle w:val="ListParagraph"/>
              <w:numPr>
                <w:ilvl w:val="0"/>
                <w:numId w:val="1"/>
              </w:numPr>
              <w:spacing w:after="80"/>
              <w:ind w:left="360"/>
            </w:pPr>
            <w:r>
              <w:rPr>
                <w:rFonts w:ascii="Calibri" w:cs="Calibri" w:eastAsia="Calibri" w:hAnsi="Calibri"/>
                <w:color w:val="21272A"/>
                <w:sz w:val="20"/>
                <w:szCs w:val="20"/>
              </w:rPr>
              <w:t xml:space="preserve">Focused automation — especially in testing and quality engineering.</w:t>
            </w:r>
          </w:p>
          <w:p>
            <w:pPr>
              <w:pStyle w:val="ListParagraph"/>
              <w:numPr>
                <w:ilvl w:val="0"/>
                <w:numId w:val="1"/>
              </w:numPr>
              <w:spacing w:after="80"/>
              <w:ind w:left="360"/>
            </w:pPr>
            <w:r>
              <w:rPr>
                <w:rFonts w:ascii="Calibri" w:cs="Calibri" w:eastAsia="Calibri" w:hAnsi="Calibri"/>
                <w:color w:val="21272A"/>
                <w:sz w:val="20"/>
                <w:szCs w:val="20"/>
              </w:rPr>
              <w:t xml:space="preserve">AI tools to drive application modernisation across the portfolio.</w:t>
            </w:r>
          </w:p>
          <w:p>
            <w:pPr>
              <w:pStyle w:val="ListParagraph"/>
              <w:numPr>
                <w:ilvl w:val="0"/>
                <w:numId w:val="1"/>
              </w:numPr>
              <w:spacing w:after="80"/>
              <w:ind w:left="360"/>
            </w:pPr>
            <w:r>
              <w:rPr>
                <w:rFonts w:ascii="Calibri" w:cs="Calibri" w:eastAsia="Calibri" w:hAnsi="Calibri"/>
                <w:color w:val="21272A"/>
                <w:sz w:val="20"/>
                <w:szCs w:val="20"/>
              </w:rPr>
              <w:t xml:space="preserve">Consultative support applying deep healthcare payer best practices.</w:t>
            </w:r>
          </w:p>
          <w:p>
            <w:pPr>
              <w:spacing w:after="40"/>
            </w:pPr>
            <w:r>
              <w:rPr>
                <w:rFonts w:ascii="Calibri" w:cs="Calibri" w:eastAsia="Calibri" w:hAnsi="Calibri"/>
              </w:rPr>
              <w:t xml:space="preserve"/>
            </w:r>
          </w:p>
          <w:p>
            <w:pPr>
              <w:pBdr>
                <w:left w:val="single" w:color="0F62FE" w:sz="20" w:space="8"/>
              </w:pBdr>
              <w:spacing w:after="80" w:before="180"/>
              <w:ind w:left="120"/>
            </w:pPr>
            <w:r>
              <w:rPr>
                <w:rFonts w:ascii="Calibri" w:cs="Calibri" w:eastAsia="Calibri" w:hAnsi="Calibri"/>
                <w:b/>
                <w:bCs/>
                <w:color w:val="0F62FE"/>
                <w:sz w:val="22"/>
                <w:szCs w:val="22"/>
              </w:rPr>
              <w:t xml:space="preserve">Cost Structure Expectations</w:t>
            </w:r>
          </w:p>
          <w:p>
            <w:pPr>
              <w:spacing w:after="100"/>
              <w:jc w:val="both"/>
            </w:pPr>
            <w:r>
              <w:rPr>
                <w:rFonts w:ascii="Calibri" w:cs="Calibri" w:eastAsia="Calibri" w:hAnsi="Calibri"/>
                <w:color w:val="21272A"/>
                <w:sz w:val="20"/>
                <w:szCs w:val="20"/>
              </w:rPr>
              <w:t xml:space="preserve">Horizon expects structural cost reduction — not just efficiency gains. The fixed baseline model signals a clear expectation: year-over-year productivity improvements and cost takeout driven by automation and AI, not rate arbitrage.</w:t>
            </w:r>
          </w:p>
        </w:tc>
        <w:tc>
          <w:tcPr>
            <w:tcW w:type="dxa" w:w="4320"/>
            <w:tcBorders>
              <w:top w:val="single" w:color="FFFFFF" w:sz="0"/>
              <w:left w:val="single" w:color="FFFFFF" w:sz="0"/>
              <w:bottom w:val="single" w:color="FFFFFF" w:sz="0"/>
              <w:right w:val="single" w:color="FFFFFF" w:sz="0"/>
            </w:tcBorders>
            <w:tcMar>
              <w:left w:type="dxa" w:w="220"/>
            </w:tcMar>
          </w:tcPr>
          <w:p>
            <w:pPr>
              <w:spacing w:after="100" w:before="80"/>
            </w:pPr>
            <w:r>
              <w:rPr>
                <w:rFonts w:ascii="Calibri" w:cs="Calibri" w:eastAsia="Calibri" w:hAnsi="Calibri"/>
                <w:b/>
                <w:bCs/>
                <w:color w:val="001141"/>
                <w:sz w:val="26"/>
                <w:szCs w:val="26"/>
              </w:rPr>
              <w:t xml:space="preserve">Factors That Shaped IBM's Solution</w:t>
            </w:r>
          </w:p>
          <w:p>
            <w:pPr>
              <w:pStyle w:val="ListParagraph"/>
              <w:numPr>
                <w:ilvl w:val="0"/>
                <w:numId w:val="1"/>
              </w:numPr>
              <w:spacing w:after="80"/>
              <w:ind w:left="360"/>
            </w:pPr>
            <w:r>
              <w:rPr>
                <w:rFonts w:ascii="Calibri" w:cs="Calibri" w:eastAsia="Calibri" w:hAnsi="Calibri"/>
                <w:b/>
                <w:bCs/>
                <w:color w:val="0F62FE"/>
                <w:sz w:val="20"/>
                <w:szCs w:val="20"/>
              </w:rPr>
              <w:t xml:space="preserve">End-to-End Integrated Delivery: </w:t>
            </w:r>
            <w:r>
              <w:rPr>
                <w:rFonts w:ascii="Calibri" w:cs="Calibri" w:eastAsia="Calibri" w:hAnsi="Calibri"/>
                <w:color w:val="21272A"/>
                <w:sz w:val="20"/>
                <w:szCs w:val="20"/>
              </w:rPr>
              <w:t xml:space="preserve">A unified operating model across Application Maintenance, Development, Testing, and Data — reducing fragmentation and improving accountability across the full lifecycle.</w:t>
            </w:r>
          </w:p>
          <w:p>
            <w:pPr>
              <w:pStyle w:val="ListParagraph"/>
              <w:numPr>
                <w:ilvl w:val="0"/>
                <w:numId w:val="1"/>
              </w:numPr>
              <w:spacing w:after="80"/>
              <w:ind w:left="360"/>
            </w:pPr>
            <w:r>
              <w:rPr>
                <w:rFonts w:ascii="Calibri" w:cs="Calibri" w:eastAsia="Calibri" w:hAnsi="Calibri"/>
                <w:b/>
                <w:bCs/>
                <w:color w:val="0F62FE"/>
                <w:sz w:val="20"/>
                <w:szCs w:val="20"/>
              </w:rPr>
              <w:t xml:space="preserve">AI at the Core: </w:t>
            </w:r>
            <w:r>
              <w:rPr>
                <w:rFonts w:ascii="Calibri" w:cs="Calibri" w:eastAsia="Calibri" w:hAnsi="Calibri"/>
                <w:color w:val="21272A"/>
                <w:sz w:val="20"/>
                <w:szCs w:val="20"/>
              </w:rPr>
              <w:t xml:space="preserve">Not bolted on. AI is embedded in triage, root cause analysis, resolution, test automation, and continuous validation — from the first day of delivery.</w:t>
            </w:r>
          </w:p>
          <w:p>
            <w:pPr>
              <w:pStyle w:val="ListParagraph"/>
              <w:numPr>
                <w:ilvl w:val="0"/>
                <w:numId w:val="1"/>
              </w:numPr>
              <w:spacing w:after="80"/>
              <w:ind w:left="360"/>
            </w:pPr>
            <w:r>
              <w:rPr>
                <w:rFonts w:ascii="Calibri" w:cs="Calibri" w:eastAsia="Calibri" w:hAnsi="Calibri"/>
                <w:b/>
                <w:bCs/>
                <w:color w:val="0F62FE"/>
                <w:sz w:val="20"/>
                <w:szCs w:val="20"/>
              </w:rPr>
              <w:t xml:space="preserve">Transition Without Disruption: </w:t>
            </w:r>
            <w:r>
              <w:rPr>
                <w:rFonts w:ascii="Calibri" w:cs="Calibri" w:eastAsia="Calibri" w:hAnsi="Calibri"/>
                <w:color w:val="21272A"/>
                <w:sz w:val="20"/>
                <w:szCs w:val="20"/>
              </w:rPr>
              <w:t xml:space="preserve">IBM's phased transition approach maintains seamless service continuity while progressively modernising the underlying operating model.</w:t>
            </w:r>
          </w:p>
          <w:p>
            <w:pPr>
              <w:pStyle w:val="ListParagraph"/>
              <w:numPr>
                <w:ilvl w:val="0"/>
                <w:numId w:val="1"/>
              </w:numPr>
              <w:spacing w:after="80"/>
              <w:ind w:left="360"/>
            </w:pPr>
            <w:r>
              <w:rPr>
                <w:rFonts w:ascii="Calibri" w:cs="Calibri" w:eastAsia="Calibri" w:hAnsi="Calibri"/>
                <w:b/>
                <w:bCs/>
                <w:color w:val="0F62FE"/>
                <w:sz w:val="20"/>
                <w:szCs w:val="20"/>
              </w:rPr>
              <w:t xml:space="preserve">Open, Elastic Architecture: </w:t>
            </w:r>
            <w:r>
              <w:rPr>
                <w:rFonts w:ascii="Calibri" w:cs="Calibri" w:eastAsia="Calibri" w:hAnsi="Calibri"/>
                <w:color w:val="21272A"/>
                <w:sz w:val="20"/>
                <w:szCs w:val="20"/>
              </w:rPr>
              <w:t xml:space="preserve">Plug-and-play architecture allows IBM to deploy on Horizon's existing AWS stack or any cloud ecosystem — avoiding lock-in and enabling flexibility.</w:t>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FFFFFF" w:sz="0"/>
                    <w:left w:val="single" w:color="009D9A" w:sz="28"/>
                    <w:bottom w:val="single" w:color="FFFFFF" w:sz="0"/>
                    <w:right w:val="single" w:color="FFFFFF" w:sz="0"/>
                  </w:tcBorders>
                  <w:shd w:fill="D9FBFB" w:val="clear"/>
                  <w:tcMar>
                    <w:top w:type="dxa" w:w="160"/>
                    <w:left w:type="dxa" w:w="280"/>
                    <w:bottom w:type="dxa" w:w="160"/>
                    <w:right w:type="dxa" w:w="280"/>
                  </w:tcMar>
                </w:tcPr>
                <w:p>
                  <w:pPr>
                    <w:spacing w:after="80" w:before="80"/>
                    <w:jc w:val="both"/>
                  </w:pPr>
                  <w:r>
                    <w:rPr>
                      <w:rFonts w:ascii="Calibri" w:cs="Calibri" w:eastAsia="Calibri" w:hAnsi="Calibri"/>
                      <w:color w:val="21272A"/>
                      <w:sz w:val="20"/>
                      <w:szCs w:val="20"/>
                    </w:rPr>
                    <w:t xml:space="preserve">IBM's solution shifts Horizon from </w:t>
                  </w:r>
                  <w:r>
                    <w:rPr>
                      <w:rFonts w:ascii="Calibri" w:cs="Calibri" w:eastAsia="Calibri" w:hAnsi="Calibri"/>
                      <w:b/>
                      <w:bCs/>
                      <w:color w:val="0F62FE"/>
                      <w:sz w:val="20"/>
                      <w:szCs w:val="20"/>
                    </w:rPr>
                    <w:t xml:space="preserve">reactive incident management</w:t>
                  </w:r>
                  <w:r>
                    <w:rPr>
                      <w:rFonts w:ascii="Calibri" w:cs="Calibri" w:eastAsia="Calibri" w:hAnsi="Calibri"/>
                      <w:color w:val="21272A"/>
                      <w:sz w:val="20"/>
                      <w:szCs w:val="20"/>
                    </w:rPr>
                    <w:t xml:space="preserve"> to </w:t>
                  </w:r>
                  <w:r>
                    <w:rPr>
                      <w:rFonts w:ascii="Calibri" w:cs="Calibri" w:eastAsia="Calibri" w:hAnsi="Calibri"/>
                      <w:b/>
                      <w:bCs/>
                      <w:color w:val="001141"/>
                      <w:sz w:val="20"/>
                      <w:szCs w:val="20"/>
                    </w:rPr>
                    <w:t xml:space="preserve">predictive, autonomous operations</w:t>
                  </w:r>
                </w:p>
              </w:tc>
            </w:tr>
          </w:tbl>
          <w:p/>
        </w:tc>
      </w:tr>
    </w:tbl>
    <w:p>
      <w:pPr>
        <w:spacing w:after="40"/>
      </w:pPr>
      <w:r>
        <w:rPr>
          <w:rFonts w:ascii="Calibri" w:cs="Calibri" w:eastAsia="Calibri" w:hAnsi="Calibri"/>
        </w:rPr>
        <w:t xml:space="preserve"/>
      </w:r>
    </w:p>
    <w:p>
      <w:pPr>
        <w:spacing w:after="80" w:before="120"/>
      </w:pPr>
      <w:r>
        <w:rPr>
          <w:rFonts w:ascii="Calibri" w:cs="Calibri" w:eastAsia="Calibri" w:hAnsi="Calibri"/>
          <w:b/>
          <w:bCs/>
          <w:color w:val="001141"/>
          <w:sz w:val="21"/>
          <w:szCs w:val="21"/>
        </w:rPr>
        <w:t xml:space="preserve">Figure 1: Current vs. Target — Automation Coverage by Domain</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gridCol w:w="100"/>
        <w:gridCol w:w="100"/>
      </w:tblGrid>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Incident Triage</w:t>
            </w:r>
          </w:p>
        </w:tc>
        <w:tc>
          <w:tcPr>
            <w:tcW w:type="dxa" w:w="5200"/>
            <w:tcBorders>
              <w:top w:val="single" w:color="FFFFFF" w:sz="0"/>
              <w:left w:val="single" w:color="FFFFFF" w:sz="0"/>
              <w:bottom w:val="single" w:color="FFFFFF" w:sz="0"/>
              <w:right w:val="single" w:color="FFFFFF" w:sz="0"/>
            </w:tcBorders>
            <w:shd w:fill="6F6F6F"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6F6F6F"/>
                <w:sz w:val="18"/>
                <w:szCs w:val="18"/>
              </w:rPr>
              <w:t xml:space="preserve">45%</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Test Execution</w:t>
            </w:r>
          </w:p>
        </w:tc>
        <w:tc>
          <w:tcPr>
            <w:tcW w:type="dxa" w:w="4391"/>
            <w:tcBorders>
              <w:top w:val="single" w:color="FFFFFF" w:sz="0"/>
              <w:left w:val="single" w:color="FFFFFF" w:sz="0"/>
              <w:bottom w:val="single" w:color="FFFFFF" w:sz="0"/>
              <w:right w:val="single" w:color="FFFFFF" w:sz="0"/>
            </w:tcBorders>
            <w:shd w:fill="6F6F6F" w:val="clear"/>
          </w:tcPr>
          <w:p>
            <w:pPr>
              <w:spacing w:after="0"/>
            </w:pPr>
          </w:p>
        </w:tc>
        <w:tc>
          <w:tcPr>
            <w:tcW w:type="dxa" w:w="809"/>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6F6F6F"/>
                <w:sz w:val="18"/>
                <w:szCs w:val="18"/>
              </w:rPr>
              <w:t xml:space="preserve">38%</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Root Cause Analysis</w:t>
            </w:r>
          </w:p>
        </w:tc>
        <w:tc>
          <w:tcPr>
            <w:tcW w:type="dxa" w:w="2542"/>
            <w:tcBorders>
              <w:top w:val="single" w:color="FFFFFF" w:sz="0"/>
              <w:left w:val="single" w:color="FFFFFF" w:sz="0"/>
              <w:bottom w:val="single" w:color="FFFFFF" w:sz="0"/>
              <w:right w:val="single" w:color="FFFFFF" w:sz="0"/>
            </w:tcBorders>
            <w:shd w:fill="6F6F6F" w:val="clear"/>
          </w:tcPr>
          <w:p>
            <w:pPr>
              <w:spacing w:after="0"/>
            </w:pPr>
          </w:p>
        </w:tc>
        <w:tc>
          <w:tcPr>
            <w:tcW w:type="dxa" w:w="2658"/>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6F6F6F"/>
                <w:sz w:val="18"/>
                <w:szCs w:val="18"/>
              </w:rPr>
              <w:t xml:space="preserve">22%</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Change Risk Scoring</w:t>
            </w:r>
          </w:p>
        </w:tc>
        <w:tc>
          <w:tcPr>
            <w:tcW w:type="dxa" w:w="2080"/>
            <w:tcBorders>
              <w:top w:val="single" w:color="FFFFFF" w:sz="0"/>
              <w:left w:val="single" w:color="FFFFFF" w:sz="0"/>
              <w:bottom w:val="single" w:color="FFFFFF" w:sz="0"/>
              <w:right w:val="single" w:color="FFFFFF" w:sz="0"/>
            </w:tcBorders>
            <w:shd w:fill="6F6F6F" w:val="clear"/>
          </w:tcPr>
          <w:p>
            <w:pPr>
              <w:spacing w:after="0"/>
            </w:pPr>
          </w:p>
        </w:tc>
        <w:tc>
          <w:tcPr>
            <w:tcW w:type="dxa" w:w="3120"/>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6F6F6F"/>
                <w:sz w:val="18"/>
                <w:szCs w:val="18"/>
              </w:rPr>
              <w:t xml:space="preserve">18%</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Deployment Validation</w:t>
            </w:r>
          </w:p>
        </w:tc>
        <w:tc>
          <w:tcPr>
            <w:tcW w:type="dxa" w:w="1733"/>
            <w:tcBorders>
              <w:top w:val="single" w:color="FFFFFF" w:sz="0"/>
              <w:left w:val="single" w:color="FFFFFF" w:sz="0"/>
              <w:bottom w:val="single" w:color="FFFFFF" w:sz="0"/>
              <w:right w:val="single" w:color="FFFFFF" w:sz="0"/>
            </w:tcBorders>
            <w:shd w:fill="6F6F6F" w:val="clear"/>
          </w:tcPr>
          <w:p>
            <w:pPr>
              <w:spacing w:after="0"/>
            </w:pPr>
          </w:p>
        </w:tc>
        <w:tc>
          <w:tcPr>
            <w:tcW w:type="dxa" w:w="3467"/>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6F6F6F"/>
                <w:sz w:val="18"/>
                <w:szCs w:val="18"/>
              </w:rPr>
              <w:t xml:space="preserve">15%</w:t>
            </w:r>
          </w:p>
        </w:tc>
      </w:tr>
    </w:tbl>
    <w:p>
      <w:pPr>
        <w:spacing w:after="160" w:before="80"/>
        <w:jc w:val="center"/>
      </w:pPr>
      <w:r>
        <w:rPr>
          <w:rFonts w:ascii="Calibri" w:cs="Calibri" w:eastAsia="Calibri" w:hAnsi="Calibri"/>
          <w:i/>
          <w:iCs/>
          <w:color w:val="6F6F6F"/>
          <w:sz w:val="16"/>
          <w:szCs w:val="16"/>
        </w:rPr>
        <w:t xml:space="preserve">Estimated baseline automation coverage across AMS domains (current state). IBM's proposal targets 80%+ automation across all domains within 12 months.</w:t>
      </w:r>
    </w:p>
    <w:p>
      <w:r>
        <w:br w:type="page"/>
      </w:r>
    </w:p>
    <w:p>
      <w:pPr>
        <w:pBdr>
          <w:bottom w:val="single" w:color="0F62FE" w:sz="4" w:space="4"/>
        </w:pBdr>
        <w:spacing w:after="80" w:before="240"/>
      </w:pPr>
      <w:r>
        <w:rPr>
          <w:rFonts w:ascii="Calibri" w:cs="Calibri" w:eastAsia="Calibri" w:hAnsi="Calibri"/>
          <w:b/>
          <w:bCs/>
          <w:color w:val="001141"/>
          <w:sz w:val="44"/>
          <w:szCs w:val="44"/>
        </w:rPr>
        <w:t xml:space="preserve">CareOps360 Command Center</w:t>
      </w:r>
    </w:p>
    <w:p>
      <w:pPr>
        <w:spacing w:after="200"/>
      </w:pPr>
      <w:r>
        <w:rPr>
          <w:rFonts w:ascii="Calibri" w:cs="Calibri" w:eastAsia="Calibri" w:hAnsi="Calibri"/>
          <w:i/>
          <w:iCs/>
          <w:color w:val="6F6F6F"/>
          <w:sz w:val="22"/>
          <w:szCs w:val="22"/>
        </w:rPr>
        <w:t xml:space="preserve">IBM's Executive Operations Platform for Real-Time AMS Visibility at Horizon</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100" w:before="80"/>
            </w:pPr>
            <w:r>
              <w:rPr>
                <w:rFonts w:ascii="Calibri" w:cs="Calibri" w:eastAsia="Calibri" w:hAnsi="Calibri"/>
                <w:b/>
                <w:bCs/>
                <w:color w:val="001141"/>
                <w:sz w:val="26"/>
                <w:szCs w:val="26"/>
              </w:rPr>
              <w:t xml:space="preserve">What Is CareOps360?</w:t>
            </w:r>
          </w:p>
          <w:p>
            <w:pPr>
              <w:spacing w:after="100"/>
              <w:jc w:val="both"/>
            </w:pPr>
            <w:r>
              <w:rPr>
                <w:rFonts w:ascii="Calibri" w:cs="Calibri" w:eastAsia="Calibri" w:hAnsi="Calibri"/>
                <w:color w:val="21272A"/>
                <w:sz w:val="20"/>
                <w:szCs w:val="20"/>
              </w:rPr>
              <w:t xml:space="preserve">CareOps360 is IBM's production-grade executive operations platform purpose-built for the Horizon BCBS engagement. It delivers real-time operational intelligence across all AMS towers — enrollment, applications, infrastructure, and quality — through a single, unified command centre accessible to Horizon's executive and operational leadership.</w:t>
            </w:r>
          </w:p>
          <w:p>
            <w:pPr>
              <w:spacing w:after="100"/>
              <w:jc w:val="both"/>
            </w:pPr>
            <w:r>
              <w:rPr>
                <w:rFonts w:ascii="Calibri" w:cs="Calibri" w:eastAsia="Calibri" w:hAnsi="Calibri"/>
                <w:color w:val="21272A"/>
                <w:sz w:val="20"/>
                <w:szCs w:val="20"/>
              </w:rPr>
              <w:t xml:space="preserve">Built on IBM's AIOps observability framework, CareOps360 surfaces predictive insights, SLA performance, enrollment intelligence, digital front door metrics, and transformation roadmap progress in real time.</w:t>
            </w:r>
          </w:p>
          <w:p>
            <w:pPr>
              <w:pBdr>
                <w:left w:val="single" w:color="0F62FE" w:sz="20" w:space="8"/>
              </w:pBdr>
              <w:spacing w:after="80" w:before="180"/>
              <w:ind w:left="120"/>
            </w:pPr>
            <w:r>
              <w:rPr>
                <w:rFonts w:ascii="Calibri" w:cs="Calibri" w:eastAsia="Calibri" w:hAnsi="Calibri"/>
                <w:b/>
                <w:bCs/>
                <w:color w:val="0F62FE"/>
                <w:sz w:val="22"/>
                <w:szCs w:val="22"/>
              </w:rPr>
              <w:t xml:space="preserve">Key Capabilities</w:t>
            </w:r>
          </w:p>
          <w:p>
            <w:pPr>
              <w:pStyle w:val="ListParagraph"/>
              <w:numPr>
                <w:ilvl w:val="0"/>
                <w:numId w:val="1"/>
              </w:numPr>
              <w:spacing w:after="80"/>
              <w:ind w:left="360"/>
            </w:pPr>
            <w:r>
              <w:rPr>
                <w:rFonts w:ascii="Calibri" w:cs="Calibri" w:eastAsia="Calibri" w:hAnsi="Calibri"/>
                <w:color w:val="21272A"/>
                <w:sz w:val="20"/>
                <w:szCs w:val="20"/>
              </w:rPr>
              <w:t xml:space="preserve">Real-time application health monitoring across 500+ applications.</w:t>
            </w:r>
          </w:p>
          <w:p>
            <w:pPr>
              <w:pStyle w:val="ListParagraph"/>
              <w:numPr>
                <w:ilvl w:val="0"/>
                <w:numId w:val="1"/>
              </w:numPr>
              <w:spacing w:after="80"/>
              <w:ind w:left="360"/>
            </w:pPr>
            <w:r>
              <w:rPr>
                <w:rFonts w:ascii="Calibri" w:cs="Calibri" w:eastAsia="Calibri" w:hAnsi="Calibri"/>
                <w:color w:val="21272A"/>
                <w:sz w:val="20"/>
                <w:szCs w:val="20"/>
              </w:rPr>
              <w:t xml:space="preserve">Enrollment Intelligence dashboard with predictive surge modelling.</w:t>
            </w:r>
          </w:p>
          <w:p>
            <w:pPr>
              <w:pStyle w:val="ListParagraph"/>
              <w:numPr>
                <w:ilvl w:val="0"/>
                <w:numId w:val="1"/>
              </w:numPr>
              <w:spacing w:after="80"/>
              <w:ind w:left="360"/>
            </w:pPr>
            <w:r>
              <w:rPr>
                <w:rFonts w:ascii="Calibri" w:cs="Calibri" w:eastAsia="Calibri" w:hAnsi="Calibri"/>
                <w:color w:val="21272A"/>
                <w:sz w:val="20"/>
                <w:szCs w:val="20"/>
              </w:rPr>
              <w:t xml:space="preserve">Digital Front Door programme tracking — Quote to Cart, member activation, channel metrics.</w:t>
            </w:r>
          </w:p>
          <w:p>
            <w:pPr>
              <w:pStyle w:val="ListParagraph"/>
              <w:numPr>
                <w:ilvl w:val="0"/>
                <w:numId w:val="1"/>
              </w:numPr>
              <w:spacing w:after="80"/>
              <w:ind w:left="360"/>
            </w:pPr>
            <w:r>
              <w:rPr>
                <w:rFonts w:ascii="Calibri" w:cs="Calibri" w:eastAsia="Calibri" w:hAnsi="Calibri"/>
                <w:color w:val="21272A"/>
                <w:sz w:val="20"/>
                <w:szCs w:val="20"/>
              </w:rPr>
              <w:t xml:space="preserve">IBM AIOps value realisation — MTTR trends, automation coverage, incident economics.</w:t>
            </w:r>
          </w:p>
          <w:p>
            <w:pPr>
              <w:pStyle w:val="ListParagraph"/>
              <w:numPr>
                <w:ilvl w:val="0"/>
                <w:numId w:val="1"/>
              </w:numPr>
              <w:spacing w:after="80"/>
              <w:ind w:left="360"/>
            </w:pPr>
            <w:r>
              <w:rPr>
                <w:rFonts w:ascii="Calibri" w:cs="Calibri" w:eastAsia="Calibri" w:hAnsi="Calibri"/>
                <w:color w:val="21272A"/>
                <w:sz w:val="20"/>
                <w:szCs w:val="20"/>
              </w:rPr>
              <w:t xml:space="preserve">Transformation Roadmap — live phase progress and milestone tracking.</w:t>
            </w:r>
          </w:p>
          <w:p>
            <w:pPr>
              <w:pStyle w:val="ListParagraph"/>
              <w:numPr>
                <w:ilvl w:val="0"/>
                <w:numId w:val="1"/>
              </w:numPr>
              <w:spacing w:after="80"/>
              <w:ind w:left="360"/>
            </w:pPr>
            <w:r>
              <w:rPr>
                <w:rFonts w:ascii="Calibri" w:cs="Calibri" w:eastAsia="Calibri" w:hAnsi="Calibri"/>
                <w:color w:val="21272A"/>
                <w:sz w:val="20"/>
                <w:szCs w:val="20"/>
              </w:rPr>
              <w:t xml:space="preserve">Auto-export, session logging, and HIPAA-compliant audit trail.</w:t>
            </w:r>
          </w:p>
        </w:tc>
        <w:tc>
          <w:tcPr>
            <w:tcW w:type="dxa" w:w="4320"/>
            <w:tcBorders>
              <w:top w:val="single" w:color="FFFFFF" w:sz="0"/>
              <w:left w:val="single" w:color="FFFFFF" w:sz="0"/>
              <w:bottom w:val="single" w:color="FFFFFF" w:sz="0"/>
              <w:right w:val="single" w:color="FFFFFF" w:sz="0"/>
            </w:tcBorders>
            <w:tcMar>
              <w:left w:type="dxa" w:w="220"/>
            </w:tcMar>
          </w:tcPr>
          <w:p>
            <w:pPr>
              <w:spacing w:after="100" w:before="80"/>
            </w:pPr>
            <w:r>
              <w:rPr>
                <w:rFonts w:ascii="Calibri" w:cs="Calibri" w:eastAsia="Calibri" w:hAnsi="Calibri"/>
                <w:b/>
                <w:bCs/>
                <w:color w:val="001141"/>
                <w:sz w:val="26"/>
                <w:szCs w:val="26"/>
              </w:rPr>
              <w:t xml:space="preserve">Platform Architecture</w:t>
            </w:r>
          </w:p>
          <w:p>
            <w:pPr>
              <w:spacing w:after="100"/>
              <w:jc w:val="both"/>
            </w:pPr>
            <w:r>
              <w:rPr>
                <w:rFonts w:ascii="Calibri" w:cs="Calibri" w:eastAsia="Calibri" w:hAnsi="Calibri"/>
                <w:color w:val="21272A"/>
                <w:sz w:val="20"/>
                <w:szCs w:val="20"/>
              </w:rPr>
              <w:t xml:space="preserve">CareOps360 is built on a modern, cloud-native stack with real-time data polling from IBM's AIOps and observability layers. It features:</w:t>
            </w:r>
          </w:p>
          <w:p>
            <w:pPr>
              <w:pStyle w:val="ListParagraph"/>
              <w:numPr>
                <w:ilvl w:val="0"/>
                <w:numId w:val="1"/>
              </w:numPr>
              <w:spacing w:after="80"/>
              <w:ind w:left="360"/>
            </w:pPr>
            <w:r>
              <w:rPr>
                <w:rFonts w:ascii="Calibri" w:cs="Calibri" w:eastAsia="Calibri" w:hAnsi="Calibri"/>
                <w:color w:val="21272A"/>
                <w:sz w:val="20"/>
                <w:szCs w:val="20"/>
              </w:rPr>
              <w:t xml:space="preserve">PostgreSQL + Drizzle ORM for structured operational data.</w:t>
            </w:r>
          </w:p>
          <w:p>
            <w:pPr>
              <w:pStyle w:val="ListParagraph"/>
              <w:numPr>
                <w:ilvl w:val="0"/>
                <w:numId w:val="1"/>
              </w:numPr>
              <w:spacing w:after="80"/>
              <w:ind w:left="360"/>
            </w:pPr>
            <w:r>
              <w:rPr>
                <w:rFonts w:ascii="Calibri" w:cs="Calibri" w:eastAsia="Calibri" w:hAnsi="Calibri"/>
                <w:color w:val="21272A"/>
                <w:sz w:val="20"/>
                <w:szCs w:val="20"/>
              </w:rPr>
              <w:t xml:space="preserve">Session-authenticated access with auto-logout on inactivity.</w:t>
            </w:r>
          </w:p>
          <w:p>
            <w:pPr>
              <w:pStyle w:val="ListParagraph"/>
              <w:numPr>
                <w:ilvl w:val="0"/>
                <w:numId w:val="1"/>
              </w:numPr>
              <w:spacing w:after="80"/>
              <w:ind w:left="360"/>
            </w:pPr>
            <w:r>
              <w:rPr>
                <w:rFonts w:ascii="Calibri" w:cs="Calibri" w:eastAsia="Calibri" w:hAnsi="Calibri"/>
                <w:color w:val="21272A"/>
                <w:sz w:val="20"/>
                <w:szCs w:val="20"/>
              </w:rPr>
              <w:t xml:space="preserve">Dark/light mode, disclaimer banners, and structured export.</w:t>
            </w:r>
          </w:p>
          <w:p>
            <w:pPr>
              <w:pStyle w:val="ListParagraph"/>
              <w:numPr>
                <w:ilvl w:val="0"/>
                <w:numId w:val="1"/>
              </w:numPr>
              <w:spacing w:after="80"/>
              <w:ind w:left="360"/>
            </w:pPr>
            <w:r>
              <w:rPr>
                <w:rFonts w:ascii="Calibri" w:cs="Calibri" w:eastAsia="Calibri" w:hAnsi="Calibri"/>
                <w:color w:val="21272A"/>
                <w:sz w:val="20"/>
                <w:szCs w:val="20"/>
              </w:rPr>
              <w:t xml:space="preserve">API-connected to IBM's AIOps event correlation and analytics engines.</w:t>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001141" w:sz="4"/>
                    <w:left w:val="single" w:color="001141" w:sz="28"/>
                    <w:bottom w:val="single" w:color="001141" w:sz="4"/>
                    <w:right w:val="single" w:color="001141" w:sz="4"/>
                  </w:tcBorders>
                  <w:shd w:fill="F4F4F4" w:val="clear"/>
                  <w:tcMar>
                    <w:top w:type="dxa" w:w="140"/>
                    <w:left w:type="dxa" w:w="200"/>
                    <w:bottom w:type="dxa" w:w="140"/>
                    <w:right w:type="dxa" w:w="200"/>
                  </w:tcMar>
                </w:tcPr>
                <w:p>
                  <w:pPr>
                    <w:spacing w:after="80"/>
                  </w:pPr>
                  <w:r>
                    <w:rPr>
                      <w:rFonts w:ascii="Calibri" w:cs="Calibri" w:eastAsia="Calibri" w:hAnsi="Calibri"/>
                      <w:b/>
                      <w:bCs/>
                      <w:color w:val="001141"/>
                      <w:sz w:val="20"/>
                      <w:szCs w:val="20"/>
                    </w:rPr>
                    <w:t xml:space="preserve">Access &amp; Security</w:t>
                  </w:r>
                </w:p>
                <w:p>
                  <w:pPr>
                    <w:spacing w:after="60"/>
                  </w:pPr>
                  <w:r>
                    <w:rPr>
                      <w:rFonts w:ascii="Calibri" w:cs="Calibri" w:eastAsia="Calibri" w:hAnsi="Calibri"/>
                      <w:color w:val="21272A"/>
                      <w:sz w:val="19"/>
                      <w:szCs w:val="19"/>
                    </w:rPr>
                    <w:t xml:space="preserve">• Role-based access: IBM and Horizon executives</w:t>
                  </w:r>
                </w:p>
                <w:p>
                  <w:pPr>
                    <w:spacing w:after="60"/>
                  </w:pPr>
                  <w:r>
                    <w:rPr>
                      <w:rFonts w:ascii="Calibri" w:cs="Calibri" w:eastAsia="Calibri" w:hAnsi="Calibri"/>
                      <w:color w:val="21272A"/>
                      <w:sz w:val="19"/>
                      <w:szCs w:val="19"/>
                    </w:rPr>
                    <w:t xml:space="preserve">• Token-authenticated sessions with inactivity timeout</w:t>
                  </w:r>
                </w:p>
                <w:p>
                  <w:pPr>
                    <w:spacing w:after="60"/>
                  </w:pPr>
                  <w:r>
                    <w:rPr>
                      <w:rFonts w:ascii="Calibri" w:cs="Calibri" w:eastAsia="Calibri" w:hAnsi="Calibri"/>
                      <w:color w:val="21272A"/>
                      <w:sz w:val="19"/>
                      <w:szCs w:val="19"/>
                    </w:rPr>
                    <w:t xml:space="preserve">• All data HIPAA-compliant — no PHI in demonstration mode</w:t>
                  </w:r>
                </w:p>
                <w:p>
                  <w:pPr>
                    <w:spacing w:after="60"/>
                  </w:pPr>
                  <w:r>
                    <w:rPr>
                      <w:rFonts w:ascii="Calibri" w:cs="Calibri" w:eastAsia="Calibri" w:hAnsi="Calibri"/>
                      <w:color w:val="21272A"/>
                      <w:sz w:val="19"/>
                      <w:szCs w:val="19"/>
                    </w:rPr>
                    <w:t xml:space="preserve">• Architecture-ready for production data integration</w:t>
                  </w:r>
                </w:p>
              </w:tc>
            </w:tr>
          </w:tbl>
          <w:p/>
        </w:tc>
      </w:tr>
    </w:tbl>
    <w:p>
      <w:pPr>
        <w:spacing w:after="40"/>
      </w:pPr>
      <w:r>
        <w:rPr>
          <w:rFonts w:ascii="Calibri" w:cs="Calibri" w:eastAsia="Calibri" w:hAnsi="Calibri"/>
        </w:rPr>
        <w:t xml:space="preserve"/>
      </w:r>
    </w:p>
    <w:p>
      <w:pPr>
        <w:spacing w:after="60" w:before="120"/>
        <w:jc w:val="center"/>
      </w:pPr>
      <w:r>
        <w:drawing>
          <wp:inline distT="0" distB="0" distL="0" distR="0">
            <wp:extent cx="6477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3762375"/>
                    </a:xfrm>
                    <a:prstGeom prst="rect">
                      <a:avLst/>
                    </a:prstGeom>
                  </pic:spPr>
                </pic:pic>
              </a:graphicData>
            </a:graphic>
          </wp:inline>
        </w:drawing>
      </w:r>
    </w:p>
    <w:p>
      <w:pPr>
        <w:spacing w:after="200"/>
        <w:jc w:val="center"/>
      </w:pPr>
      <w:r>
        <w:rPr>
          <w:rFonts w:ascii="Calibri" w:cs="Calibri" w:eastAsia="Calibri" w:hAnsi="Calibri"/>
          <w:i/>
          <w:iCs/>
          <w:color w:val="6F6F6F"/>
          <w:sz w:val="17"/>
          <w:szCs w:val="17"/>
        </w:rPr>
        <w:t xml:space="preserve">Figure 2: CareOps360 Command Center — IBM's executive operations portal for Horizon BCBS leadership. Secured access with IBM AIOps integration.</w:t>
      </w:r>
    </w:p>
    <w:p>
      <w:r>
        <w:br w:type="page"/>
      </w:r>
    </w:p>
    <w:p>
      <w:pPr>
        <w:pBdr>
          <w:bottom w:val="single" w:color="0F62FE" w:sz="4" w:space="4"/>
        </w:pBdr>
        <w:spacing w:after="80" w:before="240"/>
      </w:pPr>
      <w:r>
        <w:rPr>
          <w:rFonts w:ascii="Calibri" w:cs="Calibri" w:eastAsia="Calibri" w:hAnsi="Calibri"/>
          <w:b/>
          <w:bCs/>
          <w:color w:val="001141"/>
          <w:sz w:val="44"/>
          <w:szCs w:val="44"/>
        </w:rPr>
        <w:t xml:space="preserve">Digital Front Door &amp; Quote to Cart Initiatives</w:t>
      </w:r>
    </w:p>
    <w:p>
      <w:pPr>
        <w:spacing w:after="200"/>
      </w:pPr>
      <w:r>
        <w:rPr>
          <w:rFonts w:ascii="Calibri" w:cs="Calibri" w:eastAsia="Calibri" w:hAnsi="Calibri"/>
          <w:i/>
          <w:iCs/>
          <w:color w:val="6F6F6F"/>
          <w:sz w:val="22"/>
          <w:szCs w:val="22"/>
        </w:rPr>
        <w:t xml:space="preserve">Transforming Member Engagement from Reactive Service to Intelligent Self-Service</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100" w:before="80"/>
            </w:pPr>
            <w:r>
              <w:rPr>
                <w:rFonts w:ascii="Calibri" w:cs="Calibri" w:eastAsia="Calibri" w:hAnsi="Calibri"/>
                <w:b/>
                <w:bCs/>
                <w:color w:val="001141"/>
                <w:sz w:val="26"/>
                <w:szCs w:val="26"/>
              </w:rPr>
              <w:t xml:space="preserve">The Digital Front Door Vision</w:t>
            </w:r>
          </w:p>
          <w:p>
            <w:pPr>
              <w:spacing w:after="100"/>
              <w:jc w:val="both"/>
            </w:pPr>
            <w:r>
              <w:rPr>
                <w:rFonts w:ascii="Calibri" w:cs="Calibri" w:eastAsia="Calibri" w:hAnsi="Calibri"/>
                <w:color w:val="21272A"/>
                <w:sz w:val="20"/>
                <w:szCs w:val="20"/>
              </w:rPr>
              <w:t xml:space="preserve">The Digital Front Door (DFD) program is the centrepiece of Horizon's member experience transformation. IBM's role is to design, build, and operate a unified digital engagement layer that replaces fragmented channel experiences with a seamless, AI-enhanced member journey — from plan discovery through to claims and care navigation.</w:t>
            </w:r>
          </w:p>
          <w:p>
            <w:pPr>
              <w:spacing w:after="100"/>
              <w:jc w:val="both"/>
            </w:pPr>
            <w:r>
              <w:rPr>
                <w:rFonts w:ascii="Calibri" w:cs="Calibri" w:eastAsia="Calibri" w:hAnsi="Calibri"/>
                <w:color w:val="21272A"/>
                <w:sz w:val="20"/>
                <w:szCs w:val="20"/>
              </w:rPr>
              <w:t xml:space="preserve">For Horizon's leadership, DFD is not merely a web or mobile initiative — it is a fundamental shift in how the health plan relationships with its members: from reactive, call-centre-dependent service to proactive, intelligent digital engagement.</w:t>
            </w:r>
          </w:p>
          <w:p>
            <w:pPr>
              <w:pBdr>
                <w:left w:val="single" w:color="0F62FE" w:sz="20" w:space="8"/>
              </w:pBdr>
              <w:spacing w:after="80" w:before="180"/>
              <w:ind w:left="120"/>
            </w:pPr>
            <w:r>
              <w:rPr>
                <w:rFonts w:ascii="Calibri" w:cs="Calibri" w:eastAsia="Calibri" w:hAnsi="Calibri"/>
                <w:b/>
                <w:bCs/>
                <w:color w:val="0F62FE"/>
                <w:sz w:val="22"/>
                <w:szCs w:val="22"/>
              </w:rPr>
              <w:t xml:space="preserve">Quote to Cart — Horizon's Highest Near-Term ROI Initiative</w:t>
            </w:r>
          </w:p>
          <w:p>
            <w:pPr>
              <w:spacing w:after="100"/>
              <w:jc w:val="both"/>
            </w:pPr>
            <w:r>
              <w:rPr>
                <w:rFonts w:ascii="Calibri" w:cs="Calibri" w:eastAsia="Calibri" w:hAnsi="Calibri"/>
                <w:color w:val="21272A"/>
                <w:sz w:val="20"/>
                <w:szCs w:val="20"/>
              </w:rPr>
              <w:t xml:space="preserve">Quote to Cart enables prospective and renewing members to receive a personalised plan quote, compare options, select coverage, and complete payment — entirely within a digital channel. This compresses the sales cycle from days to minutes and directly reduces broker dependency for individual and small-group purchases.</w:t>
            </w:r>
          </w:p>
        </w:tc>
        <w:tc>
          <w:tcPr>
            <w:tcW w:type="dxa" w:w="4320"/>
            <w:tcBorders>
              <w:top w:val="single" w:color="FFFFFF" w:sz="0"/>
              <w:left w:val="single" w:color="FFFFFF" w:sz="0"/>
              <w:bottom w:val="single" w:color="FFFFFF" w:sz="0"/>
              <w:right w:val="single" w:color="FFFFFF" w:sz="0"/>
            </w:tcBorders>
            <w:tcMar>
              <w:left w:type="dxa" w:w="220"/>
            </w:tcMar>
          </w:tcPr>
          <w:p>
            <w:pPr>
              <w:spacing w:after="100" w:before="80"/>
            </w:pPr>
            <w:r>
              <w:rPr>
                <w:rFonts w:ascii="Calibri" w:cs="Calibri" w:eastAsia="Calibri" w:hAnsi="Calibri"/>
                <w:b/>
                <w:bCs/>
                <w:color w:val="001141"/>
                <w:sz w:val="26"/>
                <w:szCs w:val="26"/>
              </w:rPr>
              <w:t xml:space="preserve">DFD Programme Roadmap</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200"/>
                  <w:shd w:fill="001141" w:val="clear"/>
                  <w:tcMar>
                    <w:top w:type="dxa" w:w="60"/>
                    <w:left w:type="dxa" w:w="80"/>
                    <w:bottom w:type="dxa" w:w="60"/>
                    <w:right w:type="dxa" w:w="80"/>
                  </w:tcMar>
                </w:tcPr>
                <w:p>
                  <w:pPr>
                    <w:spacing w:after="60" w:before="60"/>
                    <w:jc w:val="center"/>
                  </w:pPr>
                  <w:r>
                    <w:rPr>
                      <w:rFonts w:ascii="Calibri" w:cs="Calibri" w:eastAsia="Calibri" w:hAnsi="Calibri"/>
                      <w:b/>
                      <w:bCs/>
                      <w:color w:val="FFFFFF"/>
                      <w:sz w:val="19"/>
                      <w:szCs w:val="19"/>
                    </w:rPr>
                    <w:t xml:space="preserve">Phase</w:t>
                  </w:r>
                </w:p>
              </w:tc>
              <w:tc>
                <w:tcPr>
                  <w:tcW w:type="dxa" w:w="3500"/>
                  <w:shd w:fill="001141" w:val="clear"/>
                  <w:tcMar>
                    <w:top w:type="dxa" w:w="60"/>
                    <w:left w:type="dxa" w:w="80"/>
                    <w:bottom w:type="dxa" w:w="60"/>
                    <w:right w:type="dxa" w:w="80"/>
                  </w:tcMar>
                </w:tcPr>
                <w:p>
                  <w:pPr>
                    <w:spacing w:after="60" w:before="60"/>
                    <w:jc w:val="center"/>
                  </w:pPr>
                  <w:r>
                    <w:rPr>
                      <w:rFonts w:ascii="Calibri" w:cs="Calibri" w:eastAsia="Calibri" w:hAnsi="Calibri"/>
                      <w:b/>
                      <w:bCs/>
                      <w:color w:val="FFFFFF"/>
                      <w:sz w:val="19"/>
                      <w:szCs w:val="19"/>
                    </w:rPr>
                    <w:t xml:space="preserve">Focus Area</w:t>
                  </w:r>
                </w:p>
              </w:tc>
              <w:tc>
                <w:tcPr>
                  <w:tcW w:type="dxa" w:w="1800"/>
                  <w:shd w:fill="001141" w:val="clear"/>
                  <w:tcMar>
                    <w:top w:type="dxa" w:w="60"/>
                    <w:left w:type="dxa" w:w="80"/>
                    <w:bottom w:type="dxa" w:w="60"/>
                    <w:right w:type="dxa" w:w="80"/>
                  </w:tcMar>
                </w:tcPr>
                <w:p>
                  <w:pPr>
                    <w:spacing w:after="60" w:before="60"/>
                    <w:jc w:val="center"/>
                  </w:pPr>
                  <w:r>
                    <w:rPr>
                      <w:rFonts w:ascii="Calibri" w:cs="Calibri" w:eastAsia="Calibri" w:hAnsi="Calibri"/>
                      <w:b/>
                      <w:bCs/>
                      <w:color w:val="FFFFFF"/>
                      <w:sz w:val="19"/>
                      <w:szCs w:val="19"/>
                    </w:rPr>
                    <w:t xml:space="preserve">Status</w:t>
                  </w:r>
                </w:p>
              </w:tc>
            </w:tr>
            <w:tr>
              <w:tc>
                <w:tcPr>
                  <w:tcW w:type="dxa" w:w="1200"/>
                  <w:shd w:fill="FFFF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Phase 1</w:t>
                  </w:r>
                </w:p>
              </w:tc>
              <w:tc>
                <w:tcPr>
                  <w:tcW w:type="dxa" w:w="35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Digital Identity &amp; Member Portal</w:t>
                  </w:r>
                </w:p>
              </w:tc>
              <w:tc>
                <w:tcPr>
                  <w:tcW w:type="dxa" w:w="1800"/>
                  <w:shd w:fill="FFFFFF" w:val="clear"/>
                  <w:tcMar>
                    <w:top w:type="dxa" w:w="50"/>
                    <w:left w:type="dxa" w:w="80"/>
                    <w:bottom w:type="dxa" w:w="50"/>
                    <w:right w:type="dxa" w:w="80"/>
                  </w:tcMar>
                  <w:vAlign w:val="center"/>
                </w:tcPr>
                <w:p>
                  <w:pPr>
                    <w:spacing w:after="50" w:before="50"/>
                  </w:pPr>
                  <w:r>
                    <w:rPr>
                      <w:rFonts w:ascii="Calibri" w:cs="Calibri" w:eastAsia="Calibri" w:hAnsi="Calibri"/>
                      <w:color w:val="198038"/>
                      <w:sz w:val="19"/>
                      <w:szCs w:val="19"/>
                    </w:rPr>
                    <w:t xml:space="preserve">Complete</w:t>
                  </w:r>
                </w:p>
              </w:tc>
            </w:tr>
            <w:tr>
              <w:tc>
                <w:tcPr>
                  <w:tcW w:type="dxa" w:w="1200"/>
                  <w:shd w:fill="EEF4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Phase 2</w:t>
                  </w:r>
                </w:p>
              </w:tc>
              <w:tc>
                <w:tcPr>
                  <w:tcW w:type="dxa" w:w="35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Online Enrollment &amp; Self-Service</w:t>
                  </w:r>
                </w:p>
              </w:tc>
              <w:tc>
                <w:tcPr>
                  <w:tcW w:type="dxa" w:w="18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In Progress</w:t>
                  </w:r>
                </w:p>
              </w:tc>
            </w:tr>
            <w:tr>
              <w:tc>
                <w:tcPr>
                  <w:tcW w:type="dxa" w:w="1200"/>
                  <w:shd w:fill="FFFF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Phase 3</w:t>
                  </w:r>
                </w:p>
              </w:tc>
              <w:tc>
                <w:tcPr>
                  <w:tcW w:type="dxa" w:w="35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Quote to Cart &amp; Payment Rails</w:t>
                  </w:r>
                </w:p>
              </w:tc>
              <w:tc>
                <w:tcPr>
                  <w:tcW w:type="dxa" w:w="18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In Progress</w:t>
                  </w:r>
                </w:p>
              </w:tc>
            </w:tr>
            <w:tr>
              <w:tc>
                <w:tcPr>
                  <w:tcW w:type="dxa" w:w="1200"/>
                  <w:shd w:fill="EEF4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Phase 4</w:t>
                  </w:r>
                </w:p>
              </w:tc>
              <w:tc>
                <w:tcPr>
                  <w:tcW w:type="dxa" w:w="35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AI Personalisation Engine</w:t>
                  </w:r>
                </w:p>
              </w:tc>
              <w:tc>
                <w:tcPr>
                  <w:tcW w:type="dxa" w:w="18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Q3 2026</w:t>
                  </w:r>
                </w:p>
              </w:tc>
            </w:tr>
            <w:tr>
              <w:tc>
                <w:tcPr>
                  <w:tcW w:type="dxa" w:w="1200"/>
                  <w:shd w:fill="FFFF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Phase 5</w:t>
                  </w:r>
                </w:p>
              </w:tc>
              <w:tc>
                <w:tcPr>
                  <w:tcW w:type="dxa" w:w="35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Autonomous Member CX</w:t>
                  </w:r>
                </w:p>
              </w:tc>
              <w:tc>
                <w:tcPr>
                  <w:tcW w:type="dxa" w:w="18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2027</w:t>
                  </w:r>
                </w:p>
              </w:tc>
            </w:tr>
          </w:tbl>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FFFFFF" w:sz="0"/>
                    <w:left w:val="single" w:color="198038" w:sz="28"/>
                    <w:bottom w:val="single" w:color="FFFFFF" w:sz="0"/>
                    <w:right w:val="single" w:color="FFFFFF" w:sz="0"/>
                  </w:tcBorders>
                  <w:shd w:fill="DEFBE6" w:val="clear"/>
                  <w:tcMar>
                    <w:top w:type="dxa" w:w="160"/>
                    <w:left w:type="dxa" w:w="280"/>
                    <w:bottom w:type="dxa" w:w="160"/>
                    <w:right w:type="dxa" w:w="280"/>
                  </w:tcMar>
                </w:tcPr>
                <w:p>
                  <w:pPr>
                    <w:spacing w:after="80" w:before="80"/>
                    <w:jc w:val="both"/>
                  </w:pPr>
                  <w:r>
                    <w:rPr>
                      <w:rFonts w:ascii="Calibri" w:cs="Calibri" w:eastAsia="Calibri" w:hAnsi="Calibri"/>
                      <w:b/>
                      <w:bCs/>
                      <w:color w:val="001141"/>
                      <w:sz w:val="21"/>
                      <w:szCs w:val="21"/>
                    </w:rPr>
                    <w:t xml:space="preserve">Quote to Cart</w:t>
                  </w:r>
                  <w:r>
                    <w:rPr>
                      <w:rFonts w:ascii="Calibri" w:cs="Calibri" w:eastAsia="Calibri" w:hAnsi="Calibri"/>
                      <w:color w:val="21272A"/>
                      <w:sz w:val="21"/>
                      <w:szCs w:val="21"/>
                    </w:rPr>
                    <w:t xml:space="preserve"> compresses the plan purchase cycle from </w:t>
                  </w:r>
                  <w:r>
                    <w:rPr>
                      <w:rFonts w:ascii="Calibri" w:cs="Calibri" w:eastAsia="Calibri" w:hAnsi="Calibri"/>
                      <w:b/>
                      <w:bCs/>
                      <w:color w:val="0F62FE"/>
                      <w:sz w:val="21"/>
                      <w:szCs w:val="21"/>
                    </w:rPr>
                    <w:t xml:space="preserve">days → minutes</w:t>
                  </w:r>
                  <w:r>
                    <w:rPr>
                      <w:rFonts w:ascii="Calibri" w:cs="Calibri" w:eastAsia="Calibri" w:hAnsi="Calibri"/>
                      <w:color w:val="21272A"/>
                      <w:sz w:val="21"/>
                      <w:szCs w:val="21"/>
                    </w:rPr>
                    <w:t xml:space="preserve"> and eliminates broker intermediation for straightforward purchases.</w:t>
                  </w:r>
                </w:p>
              </w:tc>
            </w:tr>
          </w:tbl>
          <w:p/>
        </w:tc>
      </w:tr>
    </w:tbl>
    <w:p>
      <w:pPr>
        <w:spacing w:after="40"/>
      </w:pPr>
      <w:r>
        <w:rPr>
          <w:rFonts w:ascii="Calibri" w:cs="Calibri" w:eastAsia="Calibri" w:hAnsi="Calibri"/>
        </w:rPr>
        <w:t xml:space="preserve"/>
      </w:r>
    </w:p>
    <w:p>
      <w:pPr>
        <w:spacing w:after="80" w:before="120"/>
      </w:pPr>
      <w:r>
        <w:rPr>
          <w:rFonts w:ascii="Calibri" w:cs="Calibri" w:eastAsia="Calibri" w:hAnsi="Calibri"/>
          <w:b/>
          <w:bCs/>
          <w:color w:val="001141"/>
          <w:sz w:val="21"/>
          <w:szCs w:val="21"/>
        </w:rPr>
        <w:t xml:space="preserve">Figure 3: Target Digital Self-Service Adoption Rates by Member Transaction Type</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gridCol w:w="100"/>
        <w:gridCol w:w="100"/>
      </w:tblGrid>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Online Enrollment</w:t>
            </w:r>
          </w:p>
        </w:tc>
        <w:tc>
          <w:tcPr>
            <w:tcW w:type="dxa" w:w="4653"/>
            <w:tcBorders>
              <w:top w:val="single" w:color="FFFFFF" w:sz="0"/>
              <w:left w:val="single" w:color="FFFFFF" w:sz="0"/>
              <w:bottom w:val="single" w:color="FFFFFF" w:sz="0"/>
              <w:right w:val="single" w:color="FFFFFF" w:sz="0"/>
            </w:tcBorders>
            <w:shd w:fill="0F62FE" w:val="clear"/>
          </w:tcPr>
          <w:p>
            <w:pPr>
              <w:spacing w:after="0"/>
            </w:pPr>
          </w:p>
        </w:tc>
        <w:tc>
          <w:tcPr>
            <w:tcW w:type="dxa" w:w="547"/>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F62FE"/>
                <w:sz w:val="18"/>
                <w:szCs w:val="18"/>
              </w:rPr>
              <w:t xml:space="preserve">85%</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Plan Comparison (QTC)</w:t>
            </w:r>
          </w:p>
        </w:tc>
        <w:tc>
          <w:tcPr>
            <w:tcW w:type="dxa" w:w="4269"/>
            <w:tcBorders>
              <w:top w:val="single" w:color="FFFFFF" w:sz="0"/>
              <w:left w:val="single" w:color="FFFFFF" w:sz="0"/>
              <w:bottom w:val="single" w:color="FFFFFF" w:sz="0"/>
              <w:right w:val="single" w:color="FFFFFF" w:sz="0"/>
            </w:tcBorders>
            <w:shd w:fill="009D9A" w:val="clear"/>
          </w:tcPr>
          <w:p>
            <w:pPr>
              <w:spacing w:after="0"/>
            </w:pPr>
          </w:p>
        </w:tc>
        <w:tc>
          <w:tcPr>
            <w:tcW w:type="dxa" w:w="931"/>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09D9A"/>
                <w:sz w:val="18"/>
                <w:szCs w:val="18"/>
              </w:rPr>
              <w:t xml:space="preserve">78%</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Digital ID Card</w:t>
            </w:r>
          </w:p>
        </w:tc>
        <w:tc>
          <w:tcPr>
            <w:tcW w:type="dxa" w:w="5200"/>
            <w:tcBorders>
              <w:top w:val="single" w:color="FFFFFF" w:sz="0"/>
              <w:left w:val="single" w:color="FFFFFF" w:sz="0"/>
              <w:bottom w:val="single" w:color="FFFFFF" w:sz="0"/>
              <w:right w:val="single" w:color="FFFFFF" w:sz="0"/>
            </w:tcBorders>
            <w:shd w:fill="19803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198038"/>
                <w:sz w:val="18"/>
                <w:szCs w:val="18"/>
              </w:rPr>
              <w:t xml:space="preserve">95%</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Claims Status</w:t>
            </w:r>
          </w:p>
        </w:tc>
        <w:tc>
          <w:tcPr>
            <w:tcW w:type="dxa" w:w="4926"/>
            <w:tcBorders>
              <w:top w:val="single" w:color="FFFFFF" w:sz="0"/>
              <w:left w:val="single" w:color="FFFFFF" w:sz="0"/>
              <w:bottom w:val="single" w:color="FFFFFF" w:sz="0"/>
              <w:right w:val="single" w:color="FFFFFF" w:sz="0"/>
            </w:tcBorders>
            <w:shd w:fill="0F62FE" w:val="clear"/>
          </w:tcPr>
          <w:p>
            <w:pPr>
              <w:spacing w:after="0"/>
            </w:pPr>
          </w:p>
        </w:tc>
        <w:tc>
          <w:tcPr>
            <w:tcW w:type="dxa" w:w="274"/>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F62FE"/>
                <w:sz w:val="18"/>
                <w:szCs w:val="18"/>
              </w:rPr>
              <w:t xml:space="preserve">90%</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Provider Search</w:t>
            </w:r>
          </w:p>
        </w:tc>
        <w:tc>
          <w:tcPr>
            <w:tcW w:type="dxa" w:w="4488"/>
            <w:tcBorders>
              <w:top w:val="single" w:color="FFFFFF" w:sz="0"/>
              <w:left w:val="single" w:color="FFFFFF" w:sz="0"/>
              <w:bottom w:val="single" w:color="FFFFFF" w:sz="0"/>
              <w:right w:val="single" w:color="FFFFFF" w:sz="0"/>
            </w:tcBorders>
            <w:shd w:fill="009D9A" w:val="clear"/>
          </w:tcPr>
          <w:p>
            <w:pPr>
              <w:spacing w:after="0"/>
            </w:pPr>
          </w:p>
        </w:tc>
        <w:tc>
          <w:tcPr>
            <w:tcW w:type="dxa" w:w="712"/>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09D9A"/>
                <w:sz w:val="18"/>
                <w:szCs w:val="18"/>
              </w:rPr>
              <w:t xml:space="preserve">82%</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Benefits Inquiry</w:t>
            </w:r>
          </w:p>
        </w:tc>
        <w:tc>
          <w:tcPr>
            <w:tcW w:type="dxa" w:w="4105"/>
            <w:tcBorders>
              <w:top w:val="single" w:color="FFFFFF" w:sz="0"/>
              <w:left w:val="single" w:color="FFFFFF" w:sz="0"/>
              <w:bottom w:val="single" w:color="FFFFFF" w:sz="0"/>
              <w:right w:val="single" w:color="FFFFFF" w:sz="0"/>
            </w:tcBorders>
            <w:shd w:fill="001141" w:val="clear"/>
          </w:tcPr>
          <w:p>
            <w:pPr>
              <w:spacing w:after="0"/>
            </w:pPr>
          </w:p>
        </w:tc>
        <w:tc>
          <w:tcPr>
            <w:tcW w:type="dxa" w:w="1095"/>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01141"/>
                <w:sz w:val="18"/>
                <w:szCs w:val="18"/>
              </w:rPr>
              <w:t xml:space="preserve">75%</w:t>
            </w:r>
          </w:p>
        </w:tc>
      </w:tr>
    </w:tbl>
    <w:p>
      <w:pPr>
        <w:spacing w:after="160" w:before="80"/>
        <w:jc w:val="center"/>
      </w:pPr>
      <w:r>
        <w:rPr>
          <w:rFonts w:ascii="Calibri" w:cs="Calibri" w:eastAsia="Calibri" w:hAnsi="Calibri"/>
          <w:i/>
          <w:iCs/>
          <w:color w:val="6F6F6F"/>
          <w:sz w:val="16"/>
          <w:szCs w:val="16"/>
        </w:rPr>
        <w:t xml:space="preserve">Target digital self-service adoption rates across key member transaction types following DFD programme completion.</w:t>
      </w:r>
    </w:p>
    <w:p>
      <w:r>
        <w:br w:type="page"/>
      </w:r>
    </w:p>
    <w:p>
      <w:pPr>
        <w:pBdr>
          <w:bottom w:val="single" w:color="0F62FE" w:sz="4" w:space="4"/>
        </w:pBdr>
        <w:spacing w:after="80" w:before="240"/>
      </w:pPr>
      <w:r>
        <w:rPr>
          <w:rFonts w:ascii="Calibri" w:cs="Calibri" w:eastAsia="Calibri" w:hAnsi="Calibri"/>
          <w:b/>
          <w:bCs/>
          <w:color w:val="001141"/>
          <w:sz w:val="44"/>
          <w:szCs w:val="44"/>
        </w:rPr>
        <w:t xml:space="preserve">AIOps &amp; Agentic AI Operations</w:t>
      </w:r>
    </w:p>
    <w:p>
      <w:pPr>
        <w:spacing w:after="200"/>
      </w:pPr>
      <w:r>
        <w:rPr>
          <w:rFonts w:ascii="Calibri" w:cs="Calibri" w:eastAsia="Calibri" w:hAnsi="Calibri"/>
          <w:i/>
          <w:iCs/>
          <w:color w:val="6F6F6F"/>
          <w:sz w:val="22"/>
          <w:szCs w:val="22"/>
        </w:rPr>
        <w:t xml:space="preserve">From Reactive Incident Management to Autonomous, Self-Healing Operations</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FFFFFF" w:sz="0"/>
              <w:left w:val="single" w:color="0F62FE" w:sz="28"/>
              <w:bottom w:val="single" w:color="FFFFFF" w:sz="0"/>
              <w:right w:val="single" w:color="FFFFFF" w:sz="0"/>
            </w:tcBorders>
            <w:shd w:fill="D0E2FF" w:val="clear"/>
            <w:tcMar>
              <w:top w:type="dxa" w:w="160"/>
              <w:left w:type="dxa" w:w="280"/>
              <w:bottom w:type="dxa" w:w="160"/>
              <w:right w:type="dxa" w:w="280"/>
            </w:tcMar>
          </w:tcPr>
          <w:p>
            <w:pPr>
              <w:spacing w:after="80" w:before="80"/>
              <w:jc w:val="both"/>
            </w:pPr>
            <w:r>
              <w:rPr>
                <w:rFonts w:ascii="Calibri" w:cs="Calibri" w:eastAsia="Calibri" w:hAnsi="Calibri"/>
                <w:color w:val="21272A"/>
                <w:sz w:val="22"/>
                <w:szCs w:val="22"/>
              </w:rPr>
              <w:t xml:space="preserve">IBM's Agentic AI framework shifts Horizon from </w:t>
            </w:r>
            <w:r>
              <w:rPr>
                <w:rFonts w:ascii="Calibri" w:cs="Calibri" w:eastAsia="Calibri" w:hAnsi="Calibri"/>
                <w:b/>
                <w:bCs/>
                <w:color w:val="0F62FE"/>
                <w:sz w:val="22"/>
                <w:szCs w:val="22"/>
              </w:rPr>
              <w:t xml:space="preserve">reactive incident handling</w:t>
            </w:r>
            <w:r>
              <w:rPr>
                <w:rFonts w:ascii="Calibri" w:cs="Calibri" w:eastAsia="Calibri" w:hAnsi="Calibri"/>
                <w:color w:val="21272A"/>
                <w:sz w:val="22"/>
                <w:szCs w:val="22"/>
              </w:rPr>
              <w:t xml:space="preserve"> to </w:t>
            </w:r>
            <w:r>
              <w:rPr>
                <w:rFonts w:ascii="Calibri" w:cs="Calibri" w:eastAsia="Calibri" w:hAnsi="Calibri"/>
                <w:b/>
                <w:bCs/>
                <w:color w:val="001141"/>
                <w:sz w:val="22"/>
                <w:szCs w:val="22"/>
              </w:rPr>
              <w:t xml:space="preserve">proactive, AI-driven real-time diagnosis and autonomous resolution</w:t>
            </w:r>
          </w:p>
        </w:tc>
      </w:tr>
    </w:tbl>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100" w:before="80"/>
            </w:pPr>
            <w:r>
              <w:rPr>
                <w:rFonts w:ascii="Calibri" w:cs="Calibri" w:eastAsia="Calibri" w:hAnsi="Calibri"/>
                <w:b/>
                <w:bCs/>
                <w:color w:val="001141"/>
                <w:sz w:val="26"/>
                <w:szCs w:val="26"/>
              </w:rPr>
              <w:t xml:space="preserve">The Agentic AI Architecture</w:t>
            </w:r>
          </w:p>
          <w:p>
            <w:pPr>
              <w:spacing w:after="100"/>
              <w:jc w:val="both"/>
            </w:pPr>
            <w:r>
              <w:rPr>
                <w:rFonts w:ascii="Calibri" w:cs="Calibri" w:eastAsia="Calibri" w:hAnsi="Calibri"/>
                <w:color w:val="21272A"/>
                <w:sz w:val="20"/>
                <w:szCs w:val="20"/>
              </w:rPr>
              <w:t xml:space="preserve">IBM's AIOps framework is built on a multi-agent architecture where specialised AI agents handle distinct responsibilities across the incident lifecycle — from detection through resolution and continuous learning.</w:t>
            </w:r>
          </w:p>
          <w:p>
            <w:pPr>
              <w:pBdr>
                <w:left w:val="single" w:color="0F62FE" w:sz="20" w:space="8"/>
              </w:pBdr>
              <w:spacing w:after="80" w:before="180"/>
              <w:ind w:left="120"/>
            </w:pPr>
            <w:r>
              <w:rPr>
                <w:rFonts w:ascii="Calibri" w:cs="Calibri" w:eastAsia="Calibri" w:hAnsi="Calibri"/>
                <w:b/>
                <w:bCs/>
                <w:color w:val="0F62FE"/>
                <w:sz w:val="22"/>
                <w:szCs w:val="22"/>
              </w:rPr>
              <w:t xml:space="preserve">Agent Roles</w:t>
            </w:r>
          </w:p>
          <w:p>
            <w:pPr>
              <w:pStyle w:val="ListParagraph"/>
              <w:numPr>
                <w:ilvl w:val="0"/>
                <w:numId w:val="1"/>
              </w:numPr>
              <w:spacing w:after="80"/>
              <w:ind w:left="360"/>
            </w:pPr>
            <w:r>
              <w:rPr>
                <w:rFonts w:ascii="Calibri" w:cs="Calibri" w:eastAsia="Calibri" w:hAnsi="Calibri"/>
                <w:b/>
                <w:bCs/>
                <w:color w:val="0F62FE"/>
                <w:sz w:val="20"/>
                <w:szCs w:val="20"/>
              </w:rPr>
              <w:t xml:space="preserve">Help Desk Agent: </w:t>
            </w:r>
            <w:r>
              <w:rPr>
                <w:rFonts w:ascii="Calibri" w:cs="Calibri" w:eastAsia="Calibri" w:hAnsi="Calibri"/>
                <w:color w:val="21272A"/>
                <w:sz w:val="20"/>
                <w:szCs w:val="20"/>
              </w:rPr>
              <w:t xml:space="preserve">Delivers context-aware guidance and automated actions to help users auto-resolve issues before ticket creation.</w:t>
            </w:r>
          </w:p>
          <w:p>
            <w:pPr>
              <w:pStyle w:val="ListParagraph"/>
              <w:numPr>
                <w:ilvl w:val="0"/>
                <w:numId w:val="1"/>
              </w:numPr>
              <w:spacing w:after="80"/>
              <w:ind w:left="360"/>
            </w:pPr>
            <w:r>
              <w:rPr>
                <w:rFonts w:ascii="Calibri" w:cs="Calibri" w:eastAsia="Calibri" w:hAnsi="Calibri"/>
                <w:b/>
                <w:bCs/>
                <w:color w:val="0F62FE"/>
                <w:sz w:val="20"/>
                <w:szCs w:val="20"/>
              </w:rPr>
              <w:t xml:space="preserve">Triage Agent: </w:t>
            </w:r>
            <w:r>
              <w:rPr>
                <w:rFonts w:ascii="Calibri" w:cs="Calibri" w:eastAsia="Calibri" w:hAnsi="Calibri"/>
                <w:color w:val="21272A"/>
                <w:sz w:val="20"/>
                <w:szCs w:val="20"/>
              </w:rPr>
              <w:t xml:space="preserve">Prioritises tickets based on impact, urgency, and historical patterns — eliminating manual queue management.</w:t>
            </w:r>
          </w:p>
          <w:p>
            <w:pPr>
              <w:pStyle w:val="ListParagraph"/>
              <w:numPr>
                <w:ilvl w:val="0"/>
                <w:numId w:val="1"/>
              </w:numPr>
              <w:spacing w:after="80"/>
              <w:ind w:left="360"/>
            </w:pPr>
            <w:r>
              <w:rPr>
                <w:rFonts w:ascii="Calibri" w:cs="Calibri" w:eastAsia="Calibri" w:hAnsi="Calibri"/>
                <w:b/>
                <w:bCs/>
                <w:color w:val="0F62FE"/>
                <w:sz w:val="20"/>
                <w:szCs w:val="20"/>
              </w:rPr>
              <w:t xml:space="preserve">Root Cause Analysis Agent: </w:t>
            </w:r>
            <w:r>
              <w:rPr>
                <w:rFonts w:ascii="Calibri" w:cs="Calibri" w:eastAsia="Calibri" w:hAnsi="Calibri"/>
                <w:color w:val="21272A"/>
                <w:sz w:val="20"/>
                <w:szCs w:val="20"/>
              </w:rPr>
              <w:t xml:space="preserve">Correlates signals across 140+ monitoring sources to identify root cause within minutes.</w:t>
            </w:r>
          </w:p>
          <w:p>
            <w:pPr>
              <w:pStyle w:val="ListParagraph"/>
              <w:numPr>
                <w:ilvl w:val="0"/>
                <w:numId w:val="1"/>
              </w:numPr>
              <w:spacing w:after="80"/>
              <w:ind w:left="360"/>
            </w:pPr>
            <w:r>
              <w:rPr>
                <w:rFonts w:ascii="Calibri" w:cs="Calibri" w:eastAsia="Calibri" w:hAnsi="Calibri"/>
                <w:b/>
                <w:bCs/>
                <w:color w:val="0F62FE"/>
                <w:sz w:val="20"/>
                <w:szCs w:val="20"/>
              </w:rPr>
              <w:t xml:space="preserve">Resolution Agent: </w:t>
            </w:r>
            <w:r>
              <w:rPr>
                <w:rFonts w:ascii="Calibri" w:cs="Calibri" w:eastAsia="Calibri" w:hAnsi="Calibri"/>
                <w:color w:val="21272A"/>
                <w:sz w:val="20"/>
                <w:szCs w:val="20"/>
              </w:rPr>
              <w:t xml:space="preserve">Suggests or executes remediation steps based on runbooks and past resolutions.</w:t>
            </w:r>
          </w:p>
          <w:p>
            <w:pPr>
              <w:pStyle w:val="ListParagraph"/>
              <w:numPr>
                <w:ilvl w:val="0"/>
                <w:numId w:val="1"/>
              </w:numPr>
              <w:spacing w:after="80"/>
              <w:ind w:left="360"/>
            </w:pPr>
            <w:r>
              <w:rPr>
                <w:rFonts w:ascii="Calibri" w:cs="Calibri" w:eastAsia="Calibri" w:hAnsi="Calibri"/>
                <w:b/>
                <w:bCs/>
                <w:color w:val="0F62FE"/>
                <w:sz w:val="20"/>
                <w:szCs w:val="20"/>
              </w:rPr>
              <w:t xml:space="preserve">Runbook Generation Agent: </w:t>
            </w:r>
            <w:r>
              <w:rPr>
                <w:rFonts w:ascii="Calibri" w:cs="Calibri" w:eastAsia="Calibri" w:hAnsi="Calibri"/>
                <w:color w:val="21272A"/>
                <w:sz w:val="20"/>
                <w:szCs w:val="20"/>
              </w:rPr>
              <w:t xml:space="preserve">Auto-generates and updates runbooks from resolved incidents — compounding operational knowledge over time.</w:t>
            </w:r>
          </w:p>
          <w:p>
            <w:pPr>
              <w:pStyle w:val="ListParagraph"/>
              <w:numPr>
                <w:ilvl w:val="0"/>
                <w:numId w:val="1"/>
              </w:numPr>
              <w:spacing w:after="80"/>
              <w:ind w:left="360"/>
            </w:pPr>
            <w:r>
              <w:rPr>
                <w:rFonts w:ascii="Calibri" w:cs="Calibri" w:eastAsia="Calibri" w:hAnsi="Calibri"/>
                <w:b/>
                <w:bCs/>
                <w:color w:val="0F62FE"/>
                <w:sz w:val="20"/>
                <w:szCs w:val="20"/>
              </w:rPr>
              <w:t xml:space="preserve">Continuous Learning Agent: </w:t>
            </w:r>
            <w:r>
              <w:rPr>
                <w:rFonts w:ascii="Calibri" w:cs="Calibri" w:eastAsia="Calibri" w:hAnsi="Calibri"/>
                <w:color w:val="21272A"/>
                <w:sz w:val="20"/>
                <w:szCs w:val="20"/>
              </w:rPr>
              <w:t xml:space="preserve">Feeds production telemetry back into all agents, ensuring progressive improvement with every incident cycle.</w:t>
            </w:r>
          </w:p>
        </w:tc>
        <w:tc>
          <w:tcPr>
            <w:tcW w:type="dxa" w:w="4320"/>
            <w:tcBorders>
              <w:top w:val="single" w:color="FFFFFF" w:sz="0"/>
              <w:left w:val="single" w:color="FFFFFF" w:sz="0"/>
              <w:bottom w:val="single" w:color="FFFFFF" w:sz="0"/>
              <w:right w:val="single" w:color="FFFFFF" w:sz="0"/>
            </w:tcBorders>
            <w:tcMar>
              <w:left w:type="dxa" w:w="220"/>
            </w:tcMar>
          </w:tcPr>
          <w:p>
            <w:pPr>
              <w:spacing w:after="100" w:before="80"/>
            </w:pPr>
            <w:r>
              <w:rPr>
                <w:rFonts w:ascii="Calibri" w:cs="Calibri" w:eastAsia="Calibri" w:hAnsi="Calibri"/>
                <w:b/>
                <w:bCs/>
                <w:color w:val="001141"/>
                <w:sz w:val="26"/>
                <w:szCs w:val="26"/>
              </w:rPr>
              <w:t xml:space="preserve">Value Realization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800"/>
                  <w:shd w:fill="001141" w:val="clear"/>
                  <w:tcMar>
                    <w:top w:type="dxa" w:w="60"/>
                    <w:left w:type="dxa" w:w="80"/>
                    <w:bottom w:type="dxa" w:w="60"/>
                    <w:right w:type="dxa" w:w="80"/>
                  </w:tcMar>
                </w:tcPr>
                <w:p>
                  <w:pPr>
                    <w:spacing w:after="60" w:before="60"/>
                    <w:jc w:val="center"/>
                  </w:pPr>
                  <w:r>
                    <w:rPr>
                      <w:rFonts w:ascii="Calibri" w:cs="Calibri" w:eastAsia="Calibri" w:hAnsi="Calibri"/>
                      <w:b/>
                      <w:bCs/>
                      <w:color w:val="FFFFFF"/>
                      <w:sz w:val="19"/>
                      <w:szCs w:val="19"/>
                    </w:rPr>
                    <w:t xml:space="preserve">Metric</w:t>
                  </w:r>
                </w:p>
              </w:tc>
              <w:tc>
                <w:tcPr>
                  <w:tcW w:type="dxa" w:w="1800"/>
                  <w:shd w:fill="001141" w:val="clear"/>
                  <w:tcMar>
                    <w:top w:type="dxa" w:w="60"/>
                    <w:left w:type="dxa" w:w="80"/>
                    <w:bottom w:type="dxa" w:w="60"/>
                    <w:right w:type="dxa" w:w="80"/>
                  </w:tcMar>
                </w:tcPr>
                <w:p>
                  <w:pPr>
                    <w:spacing w:after="60" w:before="60"/>
                    <w:jc w:val="center"/>
                  </w:pPr>
                  <w:r>
                    <w:rPr>
                      <w:rFonts w:ascii="Calibri" w:cs="Calibri" w:eastAsia="Calibri" w:hAnsi="Calibri"/>
                      <w:b/>
                      <w:bCs/>
                      <w:color w:val="FFFFFF"/>
                      <w:sz w:val="19"/>
                      <w:szCs w:val="19"/>
                    </w:rPr>
                    <w:t xml:space="preserve">Baseline</w:t>
                  </w:r>
                </w:p>
              </w:tc>
              <w:tc>
                <w:tcPr>
                  <w:tcW w:type="dxa" w:w="2400"/>
                  <w:shd w:fill="001141" w:val="clear"/>
                  <w:tcMar>
                    <w:top w:type="dxa" w:w="60"/>
                    <w:left w:type="dxa" w:w="80"/>
                    <w:bottom w:type="dxa" w:w="60"/>
                    <w:right w:type="dxa" w:w="80"/>
                  </w:tcMar>
                </w:tcPr>
                <w:p>
                  <w:pPr>
                    <w:spacing w:after="60" w:before="60"/>
                    <w:jc w:val="center"/>
                  </w:pPr>
                  <w:r>
                    <w:rPr>
                      <w:rFonts w:ascii="Calibri" w:cs="Calibri" w:eastAsia="Calibri" w:hAnsi="Calibri"/>
                      <w:b/>
                      <w:bCs/>
                      <w:color w:val="FFFFFF"/>
                      <w:sz w:val="19"/>
                      <w:szCs w:val="19"/>
                    </w:rPr>
                    <w:t xml:space="preserve">With AIOps</w:t>
                  </w:r>
                </w:p>
              </w:tc>
            </w:tr>
            <w:tr>
              <w:tc>
                <w:tcPr>
                  <w:tcW w:type="dxa" w:w="2800"/>
                  <w:shd w:fill="FFFF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MTTR (Mean Time to Resolve)</w:t>
                  </w:r>
                </w:p>
              </w:tc>
              <w:tc>
                <w:tcPr>
                  <w:tcW w:type="dxa" w:w="18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4.2 hrs</w:t>
                  </w:r>
                </w:p>
              </w:tc>
              <w:tc>
                <w:tcPr>
                  <w:tcW w:type="dxa" w:w="24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&lt; 1.8 hrs</w:t>
                  </w:r>
                </w:p>
              </w:tc>
            </w:tr>
            <w:tr>
              <w:tc>
                <w:tcPr>
                  <w:tcW w:type="dxa" w:w="2800"/>
                  <w:shd w:fill="EEF4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Alert Noise per Shift</w:t>
                  </w:r>
                </w:p>
              </w:tc>
              <w:tc>
                <w:tcPr>
                  <w:tcW w:type="dxa" w:w="18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High</w:t>
                  </w:r>
                </w:p>
              </w:tc>
              <w:tc>
                <w:tcPr>
                  <w:tcW w:type="dxa" w:w="24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&gt; 60% Reduced</w:t>
                  </w:r>
                </w:p>
              </w:tc>
            </w:tr>
            <w:tr>
              <w:tc>
                <w:tcPr>
                  <w:tcW w:type="dxa" w:w="2800"/>
                  <w:shd w:fill="FFFF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P3/P4 Auto-Resolution</w:t>
                  </w:r>
                </w:p>
              </w:tc>
              <w:tc>
                <w:tcPr>
                  <w:tcW w:type="dxa" w:w="18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&lt; 10%</w:t>
                  </w:r>
                </w:p>
              </w:tc>
              <w:tc>
                <w:tcPr>
                  <w:tcW w:type="dxa" w:w="24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&gt; 74%</w:t>
                  </w:r>
                </w:p>
              </w:tc>
            </w:tr>
            <w:tr>
              <w:tc>
                <w:tcPr>
                  <w:tcW w:type="dxa" w:w="2800"/>
                  <w:shd w:fill="EEF4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Change Failure Rate</w:t>
                  </w:r>
                </w:p>
              </w:tc>
              <w:tc>
                <w:tcPr>
                  <w:tcW w:type="dxa" w:w="18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Baseline</w:t>
                  </w:r>
                </w:p>
              </w:tc>
              <w:tc>
                <w:tcPr>
                  <w:tcW w:type="dxa" w:w="24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40% Reduction</w:t>
                  </w:r>
                </w:p>
              </w:tc>
            </w:tr>
            <w:tr>
              <w:tc>
                <w:tcPr>
                  <w:tcW w:type="dxa" w:w="2800"/>
                  <w:shd w:fill="FFFF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System Availability</w:t>
                  </w:r>
                </w:p>
              </w:tc>
              <w:tc>
                <w:tcPr>
                  <w:tcW w:type="dxa" w:w="18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99.7%</w:t>
                  </w:r>
                </w:p>
              </w:tc>
              <w:tc>
                <w:tcPr>
                  <w:tcW w:type="dxa" w:w="24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99.95%</w:t>
                  </w:r>
                </w:p>
              </w:tc>
            </w:tr>
            <w:tr>
              <w:tc>
                <w:tcPr>
                  <w:tcW w:type="dxa" w:w="2800"/>
                  <w:shd w:fill="EEF4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Ops Manual Triage Hours</w:t>
                  </w:r>
                </w:p>
              </w:tc>
              <w:tc>
                <w:tcPr>
                  <w:tcW w:type="dxa" w:w="18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Full load</w:t>
                  </w:r>
                </w:p>
              </w:tc>
              <w:tc>
                <w:tcPr>
                  <w:tcW w:type="dxa" w:w="24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~30% Reduction</w:t>
                  </w:r>
                </w:p>
              </w:tc>
            </w:tr>
          </w:tbl>
          <w:p>
            <w:pPr>
              <w:spacing w:after="40"/>
            </w:pPr>
            <w:r>
              <w:rPr>
                <w:rFonts w:ascii="Calibri" w:cs="Calibri" w:eastAsia="Calibri" w:hAnsi="Calibri"/>
              </w:rPr>
              <w:t xml:space="preserve"/>
            </w:r>
          </w:p>
          <w:p>
            <w:pPr>
              <w:pBdr>
                <w:left w:val="single" w:color="001141" w:sz="20" w:space="8"/>
              </w:pBdr>
              <w:spacing w:after="80" w:before="180"/>
              <w:ind w:left="120"/>
            </w:pPr>
            <w:r>
              <w:rPr>
                <w:rFonts w:ascii="Calibri" w:cs="Calibri" w:eastAsia="Calibri" w:hAnsi="Calibri"/>
                <w:b/>
                <w:bCs/>
                <w:color w:val="001141"/>
                <w:sz w:val="22"/>
                <w:szCs w:val="22"/>
              </w:rPr>
              <w:t xml:space="preserve">Built on Horizon's AWS Stack</w:t>
            </w:r>
          </w:p>
          <w:p>
            <w:pPr>
              <w:pStyle w:val="ListParagraph"/>
              <w:numPr>
                <w:ilvl w:val="0"/>
                <w:numId w:val="1"/>
              </w:numPr>
              <w:spacing w:after="80"/>
              <w:ind w:left="360"/>
            </w:pPr>
            <w:r>
              <w:rPr>
                <w:rFonts w:ascii="Calibri" w:cs="Calibri" w:eastAsia="Calibri" w:hAnsi="Calibri"/>
                <w:color w:val="21272A"/>
                <w:sz w:val="20"/>
                <w:szCs w:val="20"/>
              </w:rPr>
              <w:t xml:space="preserve">Agent Layer: AWS AgentCore &amp; Bedrock</w:t>
            </w:r>
          </w:p>
          <w:p>
            <w:pPr>
              <w:pStyle w:val="ListParagraph"/>
              <w:numPr>
                <w:ilvl w:val="0"/>
                <w:numId w:val="1"/>
              </w:numPr>
              <w:spacing w:after="80"/>
              <w:ind w:left="360"/>
            </w:pPr>
            <w:r>
              <w:rPr>
                <w:rFonts w:ascii="Calibri" w:cs="Calibri" w:eastAsia="Calibri" w:hAnsi="Calibri"/>
                <w:color w:val="21272A"/>
                <w:sz w:val="20"/>
                <w:szCs w:val="20"/>
              </w:rPr>
              <w:t xml:space="preserve">Model Layer: AWS Bedrock with native Guardrails</w:t>
            </w:r>
          </w:p>
          <w:p>
            <w:pPr>
              <w:pStyle w:val="ListParagraph"/>
              <w:numPr>
                <w:ilvl w:val="0"/>
                <w:numId w:val="1"/>
              </w:numPr>
              <w:spacing w:after="80"/>
              <w:ind w:left="360"/>
            </w:pPr>
            <w:r>
              <w:rPr>
                <w:rFonts w:ascii="Calibri" w:cs="Calibri" w:eastAsia="Calibri" w:hAnsi="Calibri"/>
                <w:color w:val="21272A"/>
                <w:sz w:val="20"/>
                <w:szCs w:val="20"/>
              </w:rPr>
              <w:t xml:space="preserve">Vector Store: AWS OpenSearch + PostgreSQL</w:t>
            </w:r>
          </w:p>
          <w:p>
            <w:pPr>
              <w:pStyle w:val="ListParagraph"/>
              <w:numPr>
                <w:ilvl w:val="0"/>
                <w:numId w:val="1"/>
              </w:numPr>
              <w:spacing w:after="80"/>
              <w:ind w:left="360"/>
            </w:pPr>
            <w:r>
              <w:rPr>
                <w:rFonts w:ascii="Calibri" w:cs="Calibri" w:eastAsia="Calibri" w:hAnsi="Calibri"/>
                <w:color w:val="21272A"/>
                <w:sz w:val="20"/>
                <w:szCs w:val="20"/>
              </w:rPr>
              <w:t xml:space="preserve">Integrations: ServiceNow · Dynatrace · CloudWatch · OpenShift</w:t>
            </w:r>
          </w:p>
          <w:p>
            <w:pPr>
              <w:pStyle w:val="ListParagraph"/>
              <w:numPr>
                <w:ilvl w:val="0"/>
                <w:numId w:val="1"/>
              </w:numPr>
              <w:spacing w:after="80"/>
              <w:ind w:left="360"/>
            </w:pPr>
            <w:r>
              <w:rPr>
                <w:rFonts w:ascii="Calibri" w:cs="Calibri" w:eastAsia="Calibri" w:hAnsi="Calibri"/>
                <w:color w:val="21272A"/>
                <w:sz w:val="20"/>
                <w:szCs w:val="20"/>
              </w:rPr>
              <w:t xml:space="preserve">IBM ContextForge for institutional knowledge management</w:t>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536"/>
                  <w:tcBorders>
                    <w:top w:val="single" w:color="FFFFFF" w:sz="0"/>
                    <w:left w:val="single" w:color="FFFFFF" w:sz="0"/>
                    <w:bottom w:val="single" w:color="FFFFFF" w:sz="0"/>
                    <w:right w:val="single" w:color="FFFFFF" w:sz="8"/>
                  </w:tcBorders>
                  <w:shd w:fill="DEFBE6" w:val="clear"/>
                  <w:tcMar>
                    <w:top w:type="dxa" w:w="120"/>
                    <w:left w:type="dxa" w:w="80"/>
                    <w:bottom w:type="dxa" w:w="120"/>
                    <w:right w:type="dxa" w:w="80"/>
                  </w:tcMar>
                </w:tcPr>
                <w:p>
                  <w:pPr>
                    <w:jc w:val="center"/>
                  </w:pPr>
                  <w:r>
                    <w:rPr>
                      <w:rFonts w:ascii="Calibri" w:cs="Calibri" w:eastAsia="Calibri" w:hAnsi="Calibri"/>
                      <w:b/>
                      <w:bCs/>
                      <w:color w:val="198038"/>
                      <w:sz w:val="22"/>
                      <w:szCs w:val="22"/>
                    </w:rPr>
                    <w:t xml:space="preserve">✓  ARB Approval Secured</w:t>
                  </w:r>
                </w:p>
                <w:p>
                  <w:pPr>
                    <w:jc w:val="center"/>
                  </w:pPr>
                  <w:r>
                    <w:rPr>
                      <w:rFonts w:ascii="Calibri" w:cs="Calibri" w:eastAsia="Calibri" w:hAnsi="Calibri"/>
                      <w:color w:val="6F6F6F"/>
                      <w:sz w:val="18"/>
                      <w:szCs w:val="18"/>
                    </w:rPr>
                    <w:t xml:space="preserve">Architecture Review Board</w:t>
                  </w:r>
                </w:p>
              </w:tc>
              <w:tc>
                <w:tcPr>
                  <w:tcW w:type="dxa" w:w="4536"/>
                  <w:tcBorders>
                    <w:top w:val="single" w:color="FFFFFF" w:sz="0"/>
                    <w:left w:val="single" w:color="FFFFFF" w:sz="0"/>
                    <w:bottom w:val="single" w:color="FFFFFF" w:sz="0"/>
                    <w:right w:val="single" w:color="FFFFFF" w:sz="8"/>
                  </w:tcBorders>
                  <w:shd w:fill="DEFBE6" w:val="clear"/>
                  <w:tcMar>
                    <w:top w:type="dxa" w:w="120"/>
                    <w:left w:type="dxa" w:w="80"/>
                    <w:bottom w:type="dxa" w:w="120"/>
                    <w:right w:type="dxa" w:w="80"/>
                  </w:tcMar>
                </w:tcPr>
                <w:p>
                  <w:pPr>
                    <w:jc w:val="center"/>
                  </w:pPr>
                  <w:r>
                    <w:rPr>
                      <w:rFonts w:ascii="Calibri" w:cs="Calibri" w:eastAsia="Calibri" w:hAnsi="Calibri"/>
                      <w:b/>
                      <w:bCs/>
                      <w:color w:val="198038"/>
                      <w:sz w:val="22"/>
                      <w:szCs w:val="22"/>
                    </w:rPr>
                    <w:t xml:space="preserve">✓  GenAI Board Approved</w:t>
                  </w:r>
                </w:p>
                <w:p>
                  <w:pPr>
                    <w:jc w:val="center"/>
                  </w:pPr>
                  <w:r>
                    <w:rPr>
                      <w:rFonts w:ascii="Calibri" w:cs="Calibri" w:eastAsia="Calibri" w:hAnsi="Calibri"/>
                      <w:color w:val="6F6F6F"/>
                      <w:sz w:val="18"/>
                      <w:szCs w:val="18"/>
                    </w:rPr>
                    <w:t xml:space="preserve">Horizon GenAI Governance</w:t>
                  </w:r>
                </w:p>
              </w:tc>
            </w:tr>
          </w:tbl>
          <w:p/>
        </w:tc>
      </w:tr>
    </w:tbl>
    <w:p>
      <w:pPr>
        <w:spacing w:after="40"/>
      </w:pPr>
      <w:r>
        <w:rPr>
          <w:rFonts w:ascii="Calibri" w:cs="Calibri" w:eastAsia="Calibri" w:hAnsi="Calibri"/>
        </w:rPr>
        <w:t xml:space="preserve"/>
      </w:r>
    </w:p>
    <w:p>
      <w:pPr>
        <w:spacing w:after="80" w:before="120"/>
      </w:pPr>
      <w:r>
        <w:rPr>
          <w:rFonts w:ascii="Calibri" w:cs="Calibri" w:eastAsia="Calibri" w:hAnsi="Calibri"/>
          <w:b/>
          <w:bCs/>
          <w:color w:val="001141"/>
          <w:sz w:val="21"/>
          <w:szCs w:val="21"/>
        </w:rPr>
        <w:t xml:space="preserve">Figure 4: Incident Resolution Time Reduction by Severity Category (IBM AIOps vs. Baseline)</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gridCol w:w="100"/>
        <w:gridCol w:w="100"/>
      </w:tblGrid>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P1 — Critical</w:t>
            </w:r>
          </w:p>
        </w:tc>
        <w:tc>
          <w:tcPr>
            <w:tcW w:type="dxa" w:w="3705"/>
            <w:tcBorders>
              <w:top w:val="single" w:color="FFFFFF" w:sz="0"/>
              <w:left w:val="single" w:color="FFFFFF" w:sz="0"/>
              <w:bottom w:val="single" w:color="FFFFFF" w:sz="0"/>
              <w:right w:val="single" w:color="FFFFFF" w:sz="0"/>
            </w:tcBorders>
            <w:shd w:fill="DA1E28" w:val="clear"/>
          </w:tcPr>
          <w:p>
            <w:pPr>
              <w:spacing w:after="0"/>
            </w:pPr>
          </w:p>
        </w:tc>
        <w:tc>
          <w:tcPr>
            <w:tcW w:type="dxa" w:w="1495"/>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DA1E28"/>
                <w:sz w:val="18"/>
                <w:szCs w:val="18"/>
              </w:rPr>
              <w:t xml:space="preserve">57% faster</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P2 — High</w:t>
            </w:r>
          </w:p>
        </w:tc>
        <w:tc>
          <w:tcPr>
            <w:tcW w:type="dxa" w:w="3120"/>
            <w:tcBorders>
              <w:top w:val="single" w:color="FFFFFF" w:sz="0"/>
              <w:left w:val="single" w:color="FFFFFF" w:sz="0"/>
              <w:bottom w:val="single" w:color="FFFFFF" w:sz="0"/>
              <w:right w:val="single" w:color="FFFFFF" w:sz="0"/>
            </w:tcBorders>
            <w:shd w:fill="FF832B" w:val="clear"/>
          </w:tcPr>
          <w:p>
            <w:pPr>
              <w:spacing w:after="0"/>
            </w:pPr>
          </w:p>
        </w:tc>
        <w:tc>
          <w:tcPr>
            <w:tcW w:type="dxa" w:w="2080"/>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FF832B"/>
                <w:sz w:val="18"/>
                <w:szCs w:val="18"/>
              </w:rPr>
              <w:t xml:space="preserve">48% faster</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P3 — Medium</w:t>
            </w:r>
          </w:p>
        </w:tc>
        <w:tc>
          <w:tcPr>
            <w:tcW w:type="dxa" w:w="4225"/>
            <w:tcBorders>
              <w:top w:val="single" w:color="FFFFFF" w:sz="0"/>
              <w:left w:val="single" w:color="FFFFFF" w:sz="0"/>
              <w:bottom w:val="single" w:color="FFFFFF" w:sz="0"/>
              <w:right w:val="single" w:color="FFFFFF" w:sz="0"/>
            </w:tcBorders>
            <w:shd w:fill="0F62FE" w:val="clear"/>
          </w:tcPr>
          <w:p>
            <w:pPr>
              <w:spacing w:after="0"/>
            </w:pPr>
          </w:p>
        </w:tc>
        <w:tc>
          <w:tcPr>
            <w:tcW w:type="dxa" w:w="975"/>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F62FE"/>
                <w:sz w:val="18"/>
                <w:szCs w:val="18"/>
              </w:rPr>
              <w:t xml:space="preserve">65% faster</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P4 — Low</w:t>
            </w:r>
          </w:p>
        </w:tc>
        <w:tc>
          <w:tcPr>
            <w:tcW w:type="dxa" w:w="5200"/>
            <w:tcBorders>
              <w:top w:val="single" w:color="FFFFFF" w:sz="0"/>
              <w:left w:val="single" w:color="FFFFFF" w:sz="0"/>
              <w:bottom w:val="single" w:color="FFFFFF" w:sz="0"/>
              <w:right w:val="single" w:color="FFFFFF" w:sz="0"/>
            </w:tcBorders>
            <w:shd w:fill="009D9A"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09D9A"/>
                <w:sz w:val="18"/>
                <w:szCs w:val="18"/>
              </w:rPr>
              <w:t xml:space="preserve">80% faster</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Change-Induced</w:t>
            </w:r>
          </w:p>
        </w:tc>
        <w:tc>
          <w:tcPr>
            <w:tcW w:type="dxa" w:w="2600"/>
            <w:tcBorders>
              <w:top w:val="single" w:color="FFFFFF" w:sz="0"/>
              <w:left w:val="single" w:color="FFFFFF" w:sz="0"/>
              <w:bottom w:val="single" w:color="FFFFFF" w:sz="0"/>
              <w:right w:val="single" w:color="FFFFFF" w:sz="0"/>
            </w:tcBorders>
            <w:shd w:fill="001141" w:val="clear"/>
          </w:tcPr>
          <w:p>
            <w:pPr>
              <w:spacing w:after="0"/>
            </w:pPr>
          </w:p>
        </w:tc>
        <w:tc>
          <w:tcPr>
            <w:tcW w:type="dxa" w:w="2600"/>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01141"/>
                <w:sz w:val="18"/>
                <w:szCs w:val="18"/>
              </w:rPr>
              <w:t xml:space="preserve">40% faster</w:t>
            </w:r>
          </w:p>
        </w:tc>
      </w:tr>
    </w:tbl>
    <w:p>
      <w:pPr>
        <w:spacing w:after="160" w:before="80"/>
        <w:jc w:val="center"/>
      </w:pPr>
      <w:r>
        <w:rPr>
          <w:rFonts w:ascii="Calibri" w:cs="Calibri" w:eastAsia="Calibri" w:hAnsi="Calibri"/>
          <w:i/>
          <w:iCs/>
          <w:color w:val="6F6F6F"/>
          <w:sz w:val="16"/>
          <w:szCs w:val="16"/>
        </w:rPr>
        <w:t xml:space="preserve">Projected incident resolution time improvements by severity following Agentic AI deployment. Percentages represent reduction vs. baseline MTTR.</w:t>
      </w:r>
    </w:p>
    <w:p>
      <w:r>
        <w:br w:type="page"/>
      </w:r>
    </w:p>
    <w:p>
      <w:pPr>
        <w:pBdr>
          <w:bottom w:val="single" w:color="0F62FE" w:sz="4" w:space="4"/>
        </w:pBdr>
        <w:spacing w:after="80" w:before="240"/>
      </w:pPr>
      <w:r>
        <w:rPr>
          <w:rFonts w:ascii="Calibri" w:cs="Calibri" w:eastAsia="Calibri" w:hAnsi="Calibri"/>
          <w:b/>
          <w:bCs/>
          <w:color w:val="001141"/>
          <w:sz w:val="44"/>
          <w:szCs w:val="44"/>
        </w:rPr>
        <w:t xml:space="preserve">Platform Modernization</w:t>
      </w:r>
    </w:p>
    <w:p>
      <w:pPr>
        <w:spacing w:after="200"/>
      </w:pPr>
      <w:r>
        <w:rPr>
          <w:rFonts w:ascii="Calibri" w:cs="Calibri" w:eastAsia="Calibri" w:hAnsi="Calibri"/>
          <w:i/>
          <w:iCs/>
          <w:color w:val="6F6F6F"/>
          <w:sz w:val="22"/>
          <w:szCs w:val="22"/>
        </w:rPr>
        <w:t xml:space="preserve">ICOE Modernization, Mainframe Migration &amp; Application Rationalization</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100" w:before="80"/>
            </w:pPr>
            <w:r>
              <w:rPr>
                <w:rFonts w:ascii="Calibri" w:cs="Calibri" w:eastAsia="Calibri" w:hAnsi="Calibri"/>
                <w:b/>
                <w:bCs/>
                <w:color w:val="001141"/>
                <w:sz w:val="26"/>
                <w:szCs w:val="26"/>
              </w:rPr>
              <w:t xml:space="preserve">ICOE Modernization</w:t>
            </w:r>
          </w:p>
          <w:p>
            <w:pPr>
              <w:spacing w:after="100"/>
              <w:jc w:val="both"/>
            </w:pPr>
            <w:r>
              <w:rPr>
                <w:rFonts w:ascii="Calibri" w:cs="Calibri" w:eastAsia="Calibri" w:hAnsi="Calibri"/>
                <w:color w:val="21272A"/>
                <w:sz w:val="20"/>
                <w:szCs w:val="20"/>
              </w:rPr>
              <w:t xml:space="preserve">IBM's Integration Centre of Excellence (ICOE) Modernization program restructures IBM's delivery organization to align with Horizon's evolving platform landscape — introducing DevSecOps pipelines, product-centric engineering squads, and shared services for API management, identity, and data integration.</w:t>
            </w:r>
          </w:p>
          <w:p>
            <w:pPr>
              <w:pBdr>
                <w:left w:val="single" w:color="0F62FE" w:sz="20" w:space="8"/>
              </w:pBdr>
              <w:spacing w:after="80" w:before="180"/>
              <w:ind w:left="120"/>
            </w:pPr>
            <w:r>
              <w:rPr>
                <w:rFonts w:ascii="Calibri" w:cs="Calibri" w:eastAsia="Calibri" w:hAnsi="Calibri"/>
                <w:b/>
                <w:bCs/>
                <w:color w:val="0F62FE"/>
                <w:sz w:val="22"/>
                <w:szCs w:val="22"/>
              </w:rPr>
              <w:t xml:space="preserve">ICOE Deliverables</w:t>
            </w:r>
          </w:p>
          <w:p>
            <w:pPr>
              <w:pStyle w:val="ListParagraph"/>
              <w:numPr>
                <w:ilvl w:val="0"/>
                <w:numId w:val="1"/>
              </w:numPr>
              <w:spacing w:after="80"/>
              <w:ind w:left="360"/>
            </w:pPr>
            <w:r>
              <w:rPr>
                <w:rFonts w:ascii="Calibri" w:cs="Calibri" w:eastAsia="Calibri" w:hAnsi="Calibri"/>
                <w:color w:val="21272A"/>
                <w:sz w:val="20"/>
                <w:szCs w:val="20"/>
              </w:rPr>
              <w:t xml:space="preserve">Dedicated engineering squads aligned to Horizon product and platform domains.</w:t>
            </w:r>
          </w:p>
          <w:p>
            <w:pPr>
              <w:pStyle w:val="ListParagraph"/>
              <w:numPr>
                <w:ilvl w:val="0"/>
                <w:numId w:val="1"/>
              </w:numPr>
              <w:spacing w:after="80"/>
              <w:ind w:left="360"/>
            </w:pPr>
            <w:r>
              <w:rPr>
                <w:rFonts w:ascii="Calibri" w:cs="Calibri" w:eastAsia="Calibri" w:hAnsi="Calibri"/>
                <w:color w:val="21272A"/>
                <w:sz w:val="20"/>
                <w:szCs w:val="20"/>
              </w:rPr>
              <w:t xml:space="preserve">DevSecOps pipelines replacing manual release management processes.</w:t>
            </w:r>
          </w:p>
          <w:p>
            <w:pPr>
              <w:pStyle w:val="ListParagraph"/>
              <w:numPr>
                <w:ilvl w:val="0"/>
                <w:numId w:val="1"/>
              </w:numPr>
              <w:spacing w:after="80"/>
              <w:ind w:left="360"/>
            </w:pPr>
            <w:r>
              <w:rPr>
                <w:rFonts w:ascii="Calibri" w:cs="Calibri" w:eastAsia="Calibri" w:hAnsi="Calibri"/>
                <w:color w:val="21272A"/>
                <w:sz w:val="20"/>
                <w:szCs w:val="20"/>
              </w:rPr>
              <w:t xml:space="preserve">Integration Simplification roadmap — reducing point-to-point complexity.</w:t>
            </w:r>
          </w:p>
          <w:p>
            <w:pPr>
              <w:pStyle w:val="ListParagraph"/>
              <w:numPr>
                <w:ilvl w:val="0"/>
                <w:numId w:val="1"/>
              </w:numPr>
              <w:spacing w:after="80"/>
              <w:ind w:left="360"/>
            </w:pPr>
            <w:r>
              <w:rPr>
                <w:rFonts w:ascii="Calibri" w:cs="Calibri" w:eastAsia="Calibri" w:hAnsi="Calibri"/>
                <w:color w:val="21272A"/>
                <w:sz w:val="20"/>
                <w:szCs w:val="20"/>
              </w:rPr>
              <w:t xml:space="preserve">Document Generation Modernization (HLGS upgrade roadmap).</w:t>
            </w:r>
          </w:p>
          <w:p>
            <w:pPr>
              <w:pStyle w:val="ListParagraph"/>
              <w:numPr>
                <w:ilvl w:val="0"/>
                <w:numId w:val="1"/>
              </w:numPr>
              <w:spacing w:after="80"/>
              <w:ind w:left="360"/>
            </w:pPr>
            <w:r>
              <w:rPr>
                <w:rFonts w:ascii="Calibri" w:cs="Calibri" w:eastAsia="Calibri" w:hAnsi="Calibri"/>
                <w:color w:val="21272A"/>
                <w:sz w:val="20"/>
                <w:szCs w:val="20"/>
              </w:rPr>
              <w:t xml:space="preserve">Observability and SRE practices for proactive system health management.</w:t>
            </w:r>
          </w:p>
          <w:p>
            <w:pPr>
              <w:spacing w:after="40"/>
            </w:pPr>
            <w:r>
              <w:rPr>
                <w:rFonts w:ascii="Calibri" w:cs="Calibri" w:eastAsia="Calibri" w:hAnsi="Calibri"/>
              </w:rPr>
              <w:t xml:space="preserve"/>
            </w:r>
          </w:p>
          <w:p>
            <w:pPr>
              <w:pBdr>
                <w:left w:val="single" w:color="0F62FE" w:sz="20" w:space="8"/>
              </w:pBdr>
              <w:spacing w:after="80" w:before="180"/>
              <w:ind w:left="120"/>
            </w:pPr>
            <w:r>
              <w:rPr>
                <w:rFonts w:ascii="Calibri" w:cs="Calibri" w:eastAsia="Calibri" w:hAnsi="Calibri"/>
                <w:b/>
                <w:bCs/>
                <w:color w:val="0F62FE"/>
                <w:sz w:val="22"/>
                <w:szCs w:val="22"/>
              </w:rPr>
              <w:t xml:space="preserve">Application Rationalisation</w:t>
            </w:r>
          </w:p>
          <w:p>
            <w:pPr>
              <w:spacing w:after="100"/>
              <w:jc w:val="both"/>
            </w:pPr>
            <w:r>
              <w:rPr>
                <w:rFonts w:ascii="Calibri" w:cs="Calibri" w:eastAsia="Calibri" w:hAnsi="Calibri"/>
                <w:color w:val="21272A"/>
                <w:sz w:val="20"/>
                <w:szCs w:val="20"/>
              </w:rPr>
              <w:t xml:space="preserve">IBM will conduct a structured assessment of Horizon's ~500 application portfolio using the BUILD ONCE, BENEFIT (BOB) framework — identifying candidates for decommission, consolidation, cloud migration, or AI-augmented modernization.</w:t>
            </w:r>
          </w:p>
        </w:tc>
        <w:tc>
          <w:tcPr>
            <w:tcW w:type="dxa" w:w="4320"/>
            <w:tcBorders>
              <w:top w:val="single" w:color="FFFFFF" w:sz="0"/>
              <w:left w:val="single" w:color="FFFFFF" w:sz="0"/>
              <w:bottom w:val="single" w:color="FFFFFF" w:sz="0"/>
              <w:right w:val="single" w:color="FFFFFF" w:sz="0"/>
            </w:tcBorders>
            <w:tcMar>
              <w:left w:type="dxa" w:w="220"/>
            </w:tcMar>
          </w:tcPr>
          <w:p>
            <w:pPr>
              <w:spacing w:after="100" w:before="80"/>
            </w:pPr>
            <w:r>
              <w:rPr>
                <w:rFonts w:ascii="Calibri" w:cs="Calibri" w:eastAsia="Calibri" w:hAnsi="Calibri"/>
                <w:b/>
                <w:bCs/>
                <w:color w:val="001141"/>
                <w:sz w:val="26"/>
                <w:szCs w:val="26"/>
              </w:rPr>
              <w:t xml:space="preserve">Mainframe Modernization Roadmap</w:t>
            </w:r>
          </w:p>
          <w:p>
            <w:pPr>
              <w:spacing w:after="100"/>
              <w:jc w:val="both"/>
            </w:pPr>
            <w:r>
              <w:rPr>
                <w:rFonts w:ascii="Calibri" w:cs="Calibri" w:eastAsia="Calibri" w:hAnsi="Calibri"/>
                <w:color w:val="21272A"/>
                <w:sz w:val="20"/>
                <w:szCs w:val="20"/>
              </w:rPr>
              <w:t xml:space="preserve">Horizon's mainframe hosts critical batch processing, eligibility logic, and financial settlement. IBM's strategy executes phased migration preserving continuity: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001141" w:val="clear"/>
                  <w:tcMar>
                    <w:top w:type="dxa" w:w="60"/>
                    <w:left w:type="dxa" w:w="80"/>
                    <w:bottom w:type="dxa" w:w="60"/>
                    <w:right w:type="dxa" w:w="80"/>
                  </w:tcMar>
                </w:tcPr>
                <w:p>
                  <w:pPr>
                    <w:spacing w:after="60" w:before="60"/>
                    <w:jc w:val="center"/>
                  </w:pPr>
                  <w:r>
                    <w:rPr>
                      <w:rFonts w:ascii="Calibri" w:cs="Calibri" w:eastAsia="Calibri" w:hAnsi="Calibri"/>
                      <w:b/>
                      <w:bCs/>
                      <w:color w:val="FFFFFF"/>
                      <w:sz w:val="19"/>
                      <w:szCs w:val="19"/>
                    </w:rPr>
                    <w:t xml:space="preserve">Workstream</w:t>
                  </w:r>
                </w:p>
              </w:tc>
              <w:tc>
                <w:tcPr>
                  <w:tcW w:type="dxa" w:w="2600"/>
                  <w:shd w:fill="001141" w:val="clear"/>
                  <w:tcMar>
                    <w:top w:type="dxa" w:w="60"/>
                    <w:left w:type="dxa" w:w="80"/>
                    <w:bottom w:type="dxa" w:w="60"/>
                    <w:right w:type="dxa" w:w="80"/>
                  </w:tcMar>
                </w:tcPr>
                <w:p>
                  <w:pPr>
                    <w:spacing w:after="60" w:before="60"/>
                    <w:jc w:val="center"/>
                  </w:pPr>
                  <w:r>
                    <w:rPr>
                      <w:rFonts w:ascii="Calibri" w:cs="Calibri" w:eastAsia="Calibri" w:hAnsi="Calibri"/>
                      <w:b/>
                      <w:bCs/>
                      <w:color w:val="FFFFFF"/>
                      <w:sz w:val="19"/>
                      <w:szCs w:val="19"/>
                    </w:rPr>
                    <w:t xml:space="preserve">Approach</w:t>
                  </w:r>
                </w:p>
              </w:tc>
              <w:tc>
                <w:tcPr>
                  <w:tcW w:type="dxa" w:w="2200"/>
                  <w:shd w:fill="001141" w:val="clear"/>
                  <w:tcMar>
                    <w:top w:type="dxa" w:w="60"/>
                    <w:left w:type="dxa" w:w="80"/>
                    <w:bottom w:type="dxa" w:w="60"/>
                    <w:right w:type="dxa" w:w="80"/>
                  </w:tcMar>
                </w:tcPr>
                <w:p>
                  <w:pPr>
                    <w:spacing w:after="60" w:before="60"/>
                    <w:jc w:val="center"/>
                  </w:pPr>
                  <w:r>
                    <w:rPr>
                      <w:rFonts w:ascii="Calibri" w:cs="Calibri" w:eastAsia="Calibri" w:hAnsi="Calibri"/>
                      <w:b/>
                      <w:bCs/>
                      <w:color w:val="FFFFFF"/>
                      <w:sz w:val="19"/>
                      <w:szCs w:val="19"/>
                    </w:rPr>
                    <w:t xml:space="preserve">Timeline</w:t>
                  </w:r>
                </w:p>
              </w:tc>
            </w:tr>
            <w:tr>
              <w:tc>
                <w:tcPr>
                  <w:tcW w:type="dxa" w:w="2200"/>
                  <w:shd w:fill="FFFF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Eligibility Processing</w:t>
                  </w:r>
                </w:p>
              </w:tc>
              <w:tc>
                <w:tcPr>
                  <w:tcW w:type="dxa" w:w="26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API-wrap → Cloud rehost</w:t>
                  </w:r>
                </w:p>
              </w:tc>
              <w:tc>
                <w:tcPr>
                  <w:tcW w:type="dxa" w:w="22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Q2–Q4 2026</w:t>
                  </w:r>
                </w:p>
              </w:tc>
            </w:tr>
            <w:tr>
              <w:tc>
                <w:tcPr>
                  <w:tcW w:type="dxa" w:w="2200"/>
                  <w:shd w:fill="EEF4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COBOL → Java Pilot</w:t>
                  </w:r>
                </w:p>
              </w:tc>
              <w:tc>
                <w:tcPr>
                  <w:tcW w:type="dxa" w:w="26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AI-assisted code conversion</w:t>
                  </w:r>
                </w:p>
              </w:tc>
              <w:tc>
                <w:tcPr>
                  <w:tcW w:type="dxa" w:w="22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Q3 2026</w:t>
                  </w:r>
                </w:p>
              </w:tc>
            </w:tr>
            <w:tr>
              <w:tc>
                <w:tcPr>
                  <w:tcW w:type="dxa" w:w="2200"/>
                  <w:shd w:fill="FFFF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Unified Payments</w:t>
                  </w:r>
                </w:p>
              </w:tc>
              <w:tc>
                <w:tcPr>
                  <w:tcW w:type="dxa" w:w="26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AWS modernisation</w:t>
                  </w:r>
                </w:p>
              </w:tc>
              <w:tc>
                <w:tcPr>
                  <w:tcW w:type="dxa" w:w="22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Q3 2026</w:t>
                  </w:r>
                </w:p>
              </w:tc>
            </w:tr>
            <w:tr>
              <w:tc>
                <w:tcPr>
                  <w:tcW w:type="dxa" w:w="2200"/>
                  <w:shd w:fill="EEF4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Claims Engine</w:t>
                  </w:r>
                </w:p>
              </w:tc>
              <w:tc>
                <w:tcPr>
                  <w:tcW w:type="dxa" w:w="26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Parallel-run cutover</w:t>
                  </w:r>
                </w:p>
              </w:tc>
              <w:tc>
                <w:tcPr>
                  <w:tcW w:type="dxa" w:w="2200"/>
                  <w:shd w:fill="EEF4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Q1–Q2 2027</w:t>
                  </w:r>
                </w:p>
              </w:tc>
            </w:tr>
            <w:tr>
              <w:tc>
                <w:tcPr>
                  <w:tcW w:type="dxa" w:w="2200"/>
                  <w:shd w:fill="FFFFFF" w:val="clear"/>
                  <w:tcMar>
                    <w:top w:type="dxa" w:w="50"/>
                    <w:left w:type="dxa" w:w="80"/>
                    <w:bottom w:type="dxa" w:w="50"/>
                    <w:right w:type="dxa" w:w="80"/>
                  </w:tcMar>
                  <w:vAlign w:val="center"/>
                </w:tcPr>
                <w:p>
                  <w:pPr>
                    <w:spacing w:after="50" w:before="50"/>
                  </w:pPr>
                  <w:r>
                    <w:rPr>
                      <w:rFonts w:ascii="Calibri" w:cs="Calibri" w:eastAsia="Calibri" w:hAnsi="Calibri"/>
                      <w:b/>
                      <w:bCs/>
                      <w:color w:val="21272A"/>
                      <w:sz w:val="19"/>
                      <w:szCs w:val="19"/>
                    </w:rPr>
                    <w:t xml:space="preserve">Member Data Services</w:t>
                  </w:r>
                </w:p>
              </w:tc>
              <w:tc>
                <w:tcPr>
                  <w:tcW w:type="dxa" w:w="26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Event-driven migration</w:t>
                  </w:r>
                </w:p>
              </w:tc>
              <w:tc>
                <w:tcPr>
                  <w:tcW w:type="dxa" w:w="2200"/>
                  <w:shd w:fill="FFFFFF" w:val="clear"/>
                  <w:tcMar>
                    <w:top w:type="dxa" w:w="50"/>
                    <w:left w:type="dxa" w:w="80"/>
                    <w:bottom w:type="dxa" w:w="50"/>
                    <w:right w:type="dxa" w:w="80"/>
                  </w:tcMar>
                  <w:vAlign w:val="center"/>
                </w:tcPr>
                <w:p>
                  <w:pPr>
                    <w:spacing w:after="50" w:before="50"/>
                  </w:pPr>
                  <w:r>
                    <w:rPr>
                      <w:rFonts w:ascii="Calibri" w:cs="Calibri" w:eastAsia="Calibri" w:hAnsi="Calibri"/>
                      <w:color w:val="21272A"/>
                      <w:sz w:val="19"/>
                      <w:szCs w:val="19"/>
                    </w:rPr>
                    <w:t xml:space="preserve">Q4 2026+</w:t>
                  </w:r>
                </w:p>
              </w:tc>
            </w:tr>
          </w:tbl>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001141" w:sz="4"/>
                    <w:left w:val="single" w:color="001141" w:sz="28"/>
                    <w:bottom w:val="single" w:color="001141" w:sz="4"/>
                    <w:right w:val="single" w:color="001141" w:sz="4"/>
                  </w:tcBorders>
                  <w:shd w:fill="F4F4F4" w:val="clear"/>
                  <w:tcMar>
                    <w:top w:type="dxa" w:w="140"/>
                    <w:left w:type="dxa" w:w="200"/>
                    <w:bottom w:type="dxa" w:w="140"/>
                    <w:right w:type="dxa" w:w="200"/>
                  </w:tcMar>
                </w:tcPr>
                <w:p>
                  <w:pPr>
                    <w:spacing w:after="80"/>
                  </w:pPr>
                  <w:r>
                    <w:rPr>
                      <w:rFonts w:ascii="Calibri" w:cs="Calibri" w:eastAsia="Calibri" w:hAnsi="Calibri"/>
                      <w:b/>
                      <w:bCs/>
                      <w:color w:val="001141"/>
                      <w:sz w:val="20"/>
                      <w:szCs w:val="20"/>
                    </w:rPr>
                    <w:t xml:space="preserve">Technical Debt Governance</w:t>
                  </w:r>
                </w:p>
                <w:p>
                  <w:pPr>
                    <w:spacing w:after="60"/>
                  </w:pPr>
                  <w:r>
                    <w:rPr>
                      <w:rFonts w:ascii="Calibri" w:cs="Calibri" w:eastAsia="Calibri" w:hAnsi="Calibri"/>
                      <w:color w:val="21272A"/>
                      <w:sz w:val="19"/>
                      <w:szCs w:val="19"/>
                    </w:rPr>
                    <w:t xml:space="preserve">• All stacks maintained to n-2 versions</w:t>
                  </w:r>
                </w:p>
                <w:p>
                  <w:pPr>
                    <w:spacing w:after="60"/>
                  </w:pPr>
                  <w:r>
                    <w:rPr>
                      <w:rFonts w:ascii="Calibri" w:cs="Calibri" w:eastAsia="Calibri" w:hAnsi="Calibri"/>
                      <w:color w:val="21272A"/>
                      <w:sz w:val="19"/>
                      <w:szCs w:val="19"/>
                    </w:rPr>
                    <w:t xml:space="preserve">• Architecture Review Board (IBM + Horizon)</w:t>
                  </w:r>
                </w:p>
                <w:p>
                  <w:pPr>
                    <w:spacing w:after="60"/>
                  </w:pPr>
                  <w:r>
                    <w:rPr>
                      <w:rFonts w:ascii="Calibri" w:cs="Calibri" w:eastAsia="Calibri" w:hAnsi="Calibri"/>
                      <w:color w:val="21272A"/>
                      <w:sz w:val="19"/>
                      <w:szCs w:val="19"/>
                    </w:rPr>
                    <w:t xml:space="preserve">• Rollback gates at every migration phase</w:t>
                  </w:r>
                </w:p>
                <w:p>
                  <w:pPr>
                    <w:spacing w:after="60"/>
                  </w:pPr>
                  <w:r>
                    <w:rPr>
                      <w:rFonts w:ascii="Calibri" w:cs="Calibri" w:eastAsia="Calibri" w:hAnsi="Calibri"/>
                      <w:color w:val="21272A"/>
                      <w:sz w:val="19"/>
                      <w:szCs w:val="19"/>
                    </w:rPr>
                    <w:t xml:space="preserve">• Zero-disruption contractual commitment</w:t>
                  </w:r>
                </w:p>
              </w:tc>
            </w:tr>
          </w:tbl>
          <w:p/>
        </w:tc>
      </w:tr>
    </w:tbl>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gridCol w:w="100"/>
        <w:gridCol w:w="100"/>
      </w:tblGrid>
      <w:tr>
        <w:tc>
          <w:tcPr>
            <w:tcW w:type="dxa" w:w="2268"/>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0F62FE"/>
                <w:sz w:val="48"/>
                <w:szCs w:val="48"/>
              </w:rPr>
              <w:t xml:space="preserve">~500</w:t>
            </w:r>
          </w:p>
          <w:p>
            <w:pPr>
              <w:spacing w:after="40"/>
              <w:jc w:val="center"/>
            </w:pPr>
            <w:r>
              <w:rPr>
                <w:rFonts w:ascii="Calibri" w:cs="Calibri" w:eastAsia="Calibri" w:hAnsi="Calibri"/>
                <w:color w:val="21272A"/>
                <w:sz w:val="17"/>
                <w:szCs w:val="17"/>
              </w:rPr>
              <w:t xml:space="preserve">Applications Assessed</w:t>
            </w:r>
          </w:p>
        </w:tc>
        <w:tc>
          <w:tcPr>
            <w:tcW w:type="dxa" w:w="2268"/>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009D9A"/>
                <w:sz w:val="48"/>
                <w:szCs w:val="48"/>
              </w:rPr>
              <w:t xml:space="preserve">COBOL→Java</w:t>
            </w:r>
          </w:p>
          <w:p>
            <w:pPr>
              <w:spacing w:after="40"/>
              <w:jc w:val="center"/>
            </w:pPr>
            <w:r>
              <w:rPr>
                <w:rFonts w:ascii="Calibri" w:cs="Calibri" w:eastAsia="Calibri" w:hAnsi="Calibri"/>
                <w:color w:val="21272A"/>
                <w:sz w:val="17"/>
                <w:szCs w:val="17"/>
              </w:rPr>
              <w:t xml:space="preserve">AI-Assisted Conversion</w:t>
            </w:r>
          </w:p>
        </w:tc>
        <w:tc>
          <w:tcPr>
            <w:tcW w:type="dxa" w:w="2268"/>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001141"/>
                <w:sz w:val="48"/>
                <w:szCs w:val="48"/>
              </w:rPr>
              <w:t xml:space="preserve">n-2</w:t>
            </w:r>
          </w:p>
          <w:p>
            <w:pPr>
              <w:spacing w:after="40"/>
              <w:jc w:val="center"/>
            </w:pPr>
            <w:r>
              <w:rPr>
                <w:rFonts w:ascii="Calibri" w:cs="Calibri" w:eastAsia="Calibri" w:hAnsi="Calibri"/>
                <w:color w:val="21272A"/>
                <w:sz w:val="17"/>
                <w:szCs w:val="17"/>
              </w:rPr>
              <w:t xml:space="preserve">Stack Version Governance</w:t>
            </w:r>
          </w:p>
        </w:tc>
        <w:tc>
          <w:tcPr>
            <w:tcW w:type="dxa" w:w="2268"/>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198038"/>
                <w:sz w:val="48"/>
                <w:szCs w:val="48"/>
              </w:rPr>
              <w:t xml:space="preserve">Zero</w:t>
            </w:r>
          </w:p>
          <w:p>
            <w:pPr>
              <w:spacing w:after="40"/>
              <w:jc w:val="center"/>
            </w:pPr>
            <w:r>
              <w:rPr>
                <w:rFonts w:ascii="Calibri" w:cs="Calibri" w:eastAsia="Calibri" w:hAnsi="Calibri"/>
                <w:color w:val="21272A"/>
                <w:sz w:val="17"/>
                <w:szCs w:val="17"/>
              </w:rPr>
              <w:t xml:space="preserve">Disruption Commitment</w:t>
            </w:r>
          </w:p>
        </w:tc>
      </w:tr>
    </w:tbl>
    <w:p>
      <w:r>
        <w:br w:type="page"/>
      </w:r>
    </w:p>
    <w:p>
      <w:pPr>
        <w:pBdr>
          <w:bottom w:val="single" w:color="0F62FE" w:sz="4" w:space="4"/>
        </w:pBdr>
        <w:spacing w:after="80" w:before="240"/>
      </w:pPr>
      <w:r>
        <w:rPr>
          <w:rFonts w:ascii="Calibri" w:cs="Calibri" w:eastAsia="Calibri" w:hAnsi="Calibri"/>
          <w:b/>
          <w:bCs/>
          <w:color w:val="001141"/>
          <w:sz w:val="44"/>
          <w:szCs w:val="44"/>
        </w:rPr>
        <w:t xml:space="preserve">Quality Engineering &amp; AI-Augmented Development</w:t>
      </w:r>
    </w:p>
    <w:p>
      <w:pPr>
        <w:spacing w:after="200"/>
      </w:pPr>
      <w:r>
        <w:rPr>
          <w:rFonts w:ascii="Calibri" w:cs="Calibri" w:eastAsia="Calibri" w:hAnsi="Calibri"/>
          <w:i/>
          <w:iCs/>
          <w:color w:val="6F6F6F"/>
          <w:sz w:val="22"/>
          <w:szCs w:val="22"/>
        </w:rPr>
        <w:t xml:space="preserve">Measurable Quality at Every Milestone — Improved with Every Release</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100" w:before="80"/>
            </w:pPr>
            <w:r>
              <w:rPr>
                <w:rFonts w:ascii="Calibri" w:cs="Calibri" w:eastAsia="Calibri" w:hAnsi="Calibri"/>
                <w:b/>
                <w:bCs/>
                <w:color w:val="001141"/>
                <w:sz w:val="26"/>
                <w:szCs w:val="26"/>
              </w:rPr>
              <w:t xml:space="preserve">Self-Improving Quality Framework</w:t>
            </w:r>
          </w:p>
          <w:p>
            <w:pPr>
              <w:spacing w:after="100"/>
              <w:jc w:val="both"/>
            </w:pPr>
            <w:r>
              <w:rPr>
                <w:rFonts w:ascii="Calibri" w:cs="Calibri" w:eastAsia="Calibri" w:hAnsi="Calibri"/>
                <w:color w:val="21272A"/>
                <w:sz w:val="20"/>
                <w:szCs w:val="20"/>
              </w:rPr>
              <w:t xml:space="preserve">IBM's Quality Engineering model embeds measurable validation checkpoints across every stage of development and production — creating a closed-loop feedback system within the CI/CD pipeline. Production insights, defect analytics, and automation metrics continuously refine testing strategies, enabling sustained defect reduction, faster recovery, and progressive quality improvement over time.</w:t>
            </w:r>
          </w:p>
          <w:p>
            <w:pPr>
              <w:pBdr>
                <w:left w:val="single" w:color="0F62FE" w:sz="20" w:space="8"/>
              </w:pBdr>
              <w:spacing w:after="80" w:before="180"/>
              <w:ind w:left="120"/>
            </w:pPr>
            <w:r>
              <w:rPr>
                <w:rFonts w:ascii="Calibri" w:cs="Calibri" w:eastAsia="Calibri" w:hAnsi="Calibri"/>
                <w:b/>
                <w:bCs/>
                <w:color w:val="0F62FE"/>
                <w:sz w:val="22"/>
                <w:szCs w:val="22"/>
              </w:rPr>
              <w:t xml:space="preserve">Quality Controls</w:t>
            </w:r>
          </w:p>
          <w:p>
            <w:pPr>
              <w:pStyle w:val="ListParagraph"/>
              <w:numPr>
                <w:ilvl w:val="0"/>
                <w:numId w:val="1"/>
              </w:numPr>
              <w:spacing w:after="80"/>
              <w:ind w:left="360"/>
            </w:pPr>
            <w:r>
              <w:rPr>
                <w:rFonts w:ascii="Calibri" w:cs="Calibri" w:eastAsia="Calibri" w:hAnsi="Calibri"/>
                <w:color w:val="21272A"/>
                <w:sz w:val="20"/>
                <w:szCs w:val="20"/>
              </w:rPr>
              <w:t xml:space="preserve">End-to-end traceability and release readiness visibility.</w:t>
            </w:r>
          </w:p>
          <w:p>
            <w:pPr>
              <w:pStyle w:val="ListParagraph"/>
              <w:numPr>
                <w:ilvl w:val="0"/>
                <w:numId w:val="1"/>
              </w:numPr>
              <w:spacing w:after="80"/>
              <w:ind w:left="360"/>
            </w:pPr>
            <w:r>
              <w:rPr>
                <w:rFonts w:ascii="Calibri" w:cs="Calibri" w:eastAsia="Calibri" w:hAnsi="Calibri"/>
                <w:color w:val="21272A"/>
                <w:sz w:val="20"/>
                <w:szCs w:val="20"/>
              </w:rPr>
              <w:t xml:space="preserve">Defect leakage, density, and stability metrics (MTTR).</w:t>
            </w:r>
          </w:p>
          <w:p>
            <w:pPr>
              <w:pStyle w:val="ListParagraph"/>
              <w:numPr>
                <w:ilvl w:val="0"/>
                <w:numId w:val="1"/>
              </w:numPr>
              <w:spacing w:after="80"/>
              <w:ind w:left="360"/>
            </w:pPr>
            <w:r>
              <w:rPr>
                <w:rFonts w:ascii="Calibri" w:cs="Calibri" w:eastAsia="Calibri" w:hAnsi="Calibri"/>
                <w:color w:val="21272A"/>
                <w:sz w:val="20"/>
                <w:szCs w:val="20"/>
              </w:rPr>
              <w:t xml:space="preserve">Automation coverage with KPI-driven governance.</w:t>
            </w:r>
          </w:p>
          <w:p>
            <w:pPr>
              <w:pStyle w:val="ListParagraph"/>
              <w:numPr>
                <w:ilvl w:val="0"/>
                <w:numId w:val="1"/>
              </w:numPr>
              <w:spacing w:after="80"/>
              <w:ind w:left="360"/>
            </w:pPr>
            <w:r>
              <w:rPr>
                <w:rFonts w:ascii="Calibri" w:cs="Calibri" w:eastAsia="Calibri" w:hAnsi="Calibri"/>
                <w:color w:val="21272A"/>
                <w:sz w:val="20"/>
                <w:szCs w:val="20"/>
              </w:rPr>
              <w:t xml:space="preserve">AI-driven defect insights and regression optimisation.</w:t>
            </w:r>
          </w:p>
          <w:p>
            <w:pPr>
              <w:pStyle w:val="ListParagraph"/>
              <w:numPr>
                <w:ilvl w:val="0"/>
                <w:numId w:val="1"/>
              </w:numPr>
              <w:spacing w:after="80"/>
              <w:ind w:left="360"/>
            </w:pPr>
            <w:r>
              <w:rPr>
                <w:rFonts w:ascii="Calibri" w:cs="Calibri" w:eastAsia="Calibri" w:hAnsi="Calibri"/>
                <w:color w:val="21272A"/>
                <w:sz w:val="20"/>
                <w:szCs w:val="20"/>
              </w:rPr>
              <w:t xml:space="preserve">Production telemetry feeding back into test strategy.</w:t>
            </w:r>
          </w:p>
          <w:p>
            <w:pPr>
              <w:pBdr>
                <w:left w:val="single" w:color="0F62FE" w:sz="20" w:space="8"/>
              </w:pBdr>
              <w:spacing w:after="80" w:before="180"/>
              <w:ind w:left="120"/>
            </w:pPr>
            <w:r>
              <w:rPr>
                <w:rFonts w:ascii="Calibri" w:cs="Calibri" w:eastAsia="Calibri" w:hAnsi="Calibri"/>
                <w:b/>
                <w:bCs/>
                <w:color w:val="0F62FE"/>
                <w:sz w:val="22"/>
                <w:szCs w:val="22"/>
              </w:rPr>
              <w:t xml:space="preserve">Intelligent Test Automation</w:t>
            </w:r>
          </w:p>
          <w:p>
            <w:pPr>
              <w:spacing w:after="100"/>
              <w:jc w:val="both"/>
            </w:pPr>
            <w:r>
              <w:rPr>
                <w:rFonts w:ascii="Calibri" w:cs="Calibri" w:eastAsia="Calibri" w:hAnsi="Calibri"/>
                <w:color w:val="21272A"/>
                <w:sz w:val="20"/>
                <w:szCs w:val="20"/>
              </w:rPr>
              <w:t xml:space="preserve">IBM's Generative AI capabilities enable self-generating test cases, automated test maintenance, and continuous validation integration — dramatically reducing the cost and time associated with regression testing across Horizon's complex, multi-system portfolio.</w:t>
            </w:r>
          </w:p>
        </w:tc>
        <w:tc>
          <w:tcPr>
            <w:tcW w:type="dxa" w:w="4320"/>
            <w:tcBorders>
              <w:top w:val="single" w:color="FFFFFF" w:sz="0"/>
              <w:left w:val="single" w:color="FFFFFF" w:sz="0"/>
              <w:bottom w:val="single" w:color="FFFFFF" w:sz="0"/>
              <w:right w:val="single" w:color="FFFFFF" w:sz="0"/>
            </w:tcBorders>
            <w:tcMar>
              <w:left w:type="dxa" w:w="220"/>
            </w:tcMar>
          </w:tcPr>
          <w:p>
            <w:pPr>
              <w:spacing w:after="100" w:before="80"/>
            </w:pPr>
            <w:r>
              <w:rPr>
                <w:rFonts w:ascii="Calibri" w:cs="Calibri" w:eastAsia="Calibri" w:hAnsi="Calibri"/>
                <w:b/>
                <w:bCs/>
                <w:color w:val="001141"/>
                <w:sz w:val="26"/>
                <w:szCs w:val="26"/>
              </w:rPr>
              <w:t xml:space="preserve">AI-Augmented Development Model</w:t>
            </w:r>
          </w:p>
          <w:p>
            <w:pPr>
              <w:spacing w:after="100"/>
              <w:jc w:val="both"/>
            </w:pPr>
            <w:r>
              <w:rPr>
                <w:rFonts w:ascii="Calibri" w:cs="Calibri" w:eastAsia="Calibri" w:hAnsi="Calibri"/>
                <w:color w:val="21272A"/>
                <w:sz w:val="20"/>
                <w:szCs w:val="20"/>
              </w:rPr>
              <w:t xml:space="preserve">IBM transforms Horizon's engineering model from a traditional project-centric approach to a modern, product-centric engineering organisation — powered by IBM Consulting Advantage accelerators and the BUILD ONCE, BENEFIT (BOB) framework of reusable enterprise assets.</w:t>
            </w:r>
          </w:p>
          <w:p>
            <w:pPr>
              <w:pBdr>
                <w:left w:val="single" w:color="0F62FE" w:sz="20" w:space="8"/>
              </w:pBdr>
              <w:spacing w:after="80" w:before="180"/>
              <w:ind w:left="120"/>
            </w:pPr>
            <w:r>
              <w:rPr>
                <w:rFonts w:ascii="Calibri" w:cs="Calibri" w:eastAsia="Calibri" w:hAnsi="Calibri"/>
                <w:b/>
                <w:bCs/>
                <w:color w:val="0F62FE"/>
                <w:sz w:val="22"/>
                <w:szCs w:val="22"/>
              </w:rPr>
              <w:t xml:space="preserve">AI-Assisted Development</w:t>
            </w:r>
          </w:p>
          <w:p>
            <w:pPr>
              <w:pStyle w:val="ListParagraph"/>
              <w:numPr>
                <w:ilvl w:val="0"/>
                <w:numId w:val="1"/>
              </w:numPr>
              <w:spacing w:after="80"/>
              <w:ind w:left="360"/>
            </w:pPr>
            <w:r>
              <w:rPr>
                <w:rFonts w:ascii="Calibri" w:cs="Calibri" w:eastAsia="Calibri" w:hAnsi="Calibri"/>
                <w:color w:val="21272A"/>
                <w:sz w:val="20"/>
                <w:szCs w:val="20"/>
              </w:rPr>
              <w:t xml:space="preserve">Generative AI tools accelerate code generation, review, documentation, and optimisation.</w:t>
            </w:r>
          </w:p>
          <w:p>
            <w:pPr>
              <w:pStyle w:val="ListParagraph"/>
              <w:numPr>
                <w:ilvl w:val="0"/>
                <w:numId w:val="1"/>
              </w:numPr>
              <w:spacing w:after="80"/>
              <w:ind w:left="360"/>
            </w:pPr>
            <w:r>
              <w:rPr>
                <w:rFonts w:ascii="Calibri" w:cs="Calibri" w:eastAsia="Calibri" w:hAnsi="Calibri"/>
                <w:color w:val="21272A"/>
                <w:sz w:val="20"/>
                <w:szCs w:val="20"/>
              </w:rPr>
              <w:t xml:space="preserve">Reduces developer toil and elevates focus to high-value engineering.</w:t>
            </w:r>
          </w:p>
          <w:p>
            <w:pPr>
              <w:pStyle w:val="ListParagraph"/>
              <w:numPr>
                <w:ilvl w:val="0"/>
                <w:numId w:val="1"/>
              </w:numPr>
              <w:spacing w:after="80"/>
              <w:ind w:left="360"/>
            </w:pPr>
            <w:r>
              <w:rPr>
                <w:rFonts w:ascii="Calibri" w:cs="Calibri" w:eastAsia="Calibri" w:hAnsi="Calibri"/>
                <w:color w:val="21272A"/>
                <w:sz w:val="20"/>
                <w:szCs w:val="20"/>
              </w:rPr>
              <w:t xml:space="preserve">IBM Consulting Advantage accelerators compress time-to-value.</w:t>
            </w:r>
          </w:p>
          <w:p>
            <w:pPr>
              <w:pBdr>
                <w:left w:val="single" w:color="0F62FE" w:sz="20" w:space="8"/>
              </w:pBdr>
              <w:spacing w:after="80" w:before="180"/>
              <w:ind w:left="120"/>
            </w:pPr>
            <w:r>
              <w:rPr>
                <w:rFonts w:ascii="Calibri" w:cs="Calibri" w:eastAsia="Calibri" w:hAnsi="Calibri"/>
                <w:b/>
                <w:bCs/>
                <w:color w:val="0F62FE"/>
                <w:sz w:val="22"/>
                <w:szCs w:val="22"/>
              </w:rPr>
              <w:t xml:space="preserve">DevSecOps Integration</w:t>
            </w:r>
          </w:p>
          <w:p>
            <w:pPr>
              <w:pStyle w:val="ListParagraph"/>
              <w:numPr>
                <w:ilvl w:val="0"/>
                <w:numId w:val="1"/>
              </w:numPr>
              <w:spacing w:after="80"/>
              <w:ind w:left="360"/>
            </w:pPr>
            <w:r>
              <w:rPr>
                <w:rFonts w:ascii="Calibri" w:cs="Calibri" w:eastAsia="Calibri" w:hAnsi="Calibri"/>
                <w:color w:val="21272A"/>
                <w:sz w:val="20"/>
                <w:szCs w:val="20"/>
              </w:rPr>
              <w:t xml:space="preserve">Security embedded "left" into CI/CD pipelines.</w:t>
            </w:r>
          </w:p>
          <w:p>
            <w:pPr>
              <w:pStyle w:val="ListParagraph"/>
              <w:numPr>
                <w:ilvl w:val="0"/>
                <w:numId w:val="1"/>
              </w:numPr>
              <w:spacing w:after="80"/>
              <w:ind w:left="360"/>
            </w:pPr>
            <w:r>
              <w:rPr>
                <w:rFonts w:ascii="Calibri" w:cs="Calibri" w:eastAsia="Calibri" w:hAnsi="Calibri"/>
                <w:color w:val="21272A"/>
                <w:sz w:val="20"/>
                <w:szCs w:val="20"/>
              </w:rPr>
              <w:t xml:space="preserve">Automated vulnerability scanning at every stage.</w:t>
            </w:r>
          </w:p>
          <w:p>
            <w:pPr>
              <w:pStyle w:val="ListParagraph"/>
              <w:numPr>
                <w:ilvl w:val="0"/>
                <w:numId w:val="1"/>
              </w:numPr>
              <w:spacing w:after="80"/>
              <w:ind w:left="360"/>
            </w:pPr>
            <w:r>
              <w:rPr>
                <w:rFonts w:ascii="Calibri" w:cs="Calibri" w:eastAsia="Calibri" w:hAnsi="Calibri"/>
                <w:color w:val="21272A"/>
                <w:sz w:val="20"/>
                <w:szCs w:val="20"/>
              </w:rPr>
              <w:t xml:space="preserve">Compliance gates and policy enforcement from commit to production.</w:t>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FFFFFF" w:sz="0"/>
                    <w:left w:val="single" w:color="198038" w:sz="28"/>
                    <w:bottom w:val="single" w:color="FFFFFF" w:sz="0"/>
                    <w:right w:val="single" w:color="FFFFFF" w:sz="0"/>
                  </w:tcBorders>
                  <w:shd w:fill="DEFBE6" w:val="clear"/>
                  <w:tcMar>
                    <w:top w:type="dxa" w:w="160"/>
                    <w:left w:type="dxa" w:w="280"/>
                    <w:bottom w:type="dxa" w:w="160"/>
                    <w:right w:type="dxa" w:w="280"/>
                  </w:tcMar>
                </w:tcPr>
                <w:p>
                  <w:pPr>
                    <w:spacing w:after="80" w:before="80"/>
                    <w:jc w:val="both"/>
                  </w:pPr>
                  <w:r>
                    <w:rPr>
                      <w:rFonts w:ascii="Calibri" w:cs="Calibri" w:eastAsia="Calibri" w:hAnsi="Calibri"/>
                      <w:b/>
                      <w:bCs/>
                      <w:color w:val="001141"/>
                      <w:sz w:val="21"/>
                      <w:szCs w:val="21"/>
                    </w:rPr>
                    <w:t xml:space="preserve">Target: </w:t>
                  </w:r>
                  <w:r>
                    <w:rPr>
                      <w:rFonts w:ascii="Calibri" w:cs="Calibri" w:eastAsia="Calibri" w:hAnsi="Calibri"/>
                      <w:color w:val="21272A"/>
                      <w:sz w:val="21"/>
                      <w:szCs w:val="21"/>
                    </w:rPr>
                    <w:t xml:space="preserve">80% test automation coverage across Horizon's application portfolio within 12 months of full deployment.</w:t>
                  </w:r>
                </w:p>
              </w:tc>
            </w:tr>
          </w:tbl>
          <w:p/>
        </w:tc>
      </w:tr>
    </w:tbl>
    <w:p>
      <w:pPr>
        <w:spacing w:after="40"/>
      </w:pPr>
      <w:r>
        <w:rPr>
          <w:rFonts w:ascii="Calibri" w:cs="Calibri" w:eastAsia="Calibri" w:hAnsi="Calibri"/>
        </w:rPr>
        <w:t xml:space="preserve"/>
      </w:r>
    </w:p>
    <w:p>
      <w:pPr>
        <w:spacing w:after="80" w:before="120"/>
      </w:pPr>
      <w:r>
        <w:rPr>
          <w:rFonts w:ascii="Calibri" w:cs="Calibri" w:eastAsia="Calibri" w:hAnsi="Calibri"/>
          <w:b/>
          <w:bCs/>
          <w:color w:val="001141"/>
          <w:sz w:val="21"/>
          <w:szCs w:val="21"/>
        </w:rPr>
        <w:t xml:space="preserve">Figure 5: Quality KPI Improvement Targets — 12-Month Programme</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gridCol w:w="100"/>
        <w:gridCol w:w="100"/>
      </w:tblGrid>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Test Automation Coverage</w:t>
            </w:r>
          </w:p>
        </w:tc>
        <w:tc>
          <w:tcPr>
            <w:tcW w:type="dxa" w:w="5200"/>
            <w:tcBorders>
              <w:top w:val="single" w:color="FFFFFF" w:sz="0"/>
              <w:left w:val="single" w:color="FFFFFF" w:sz="0"/>
              <w:bottom w:val="single" w:color="FFFFFF" w:sz="0"/>
              <w:right w:val="single" w:color="FFFFFF" w:sz="0"/>
            </w:tcBorders>
            <w:shd w:fill="19803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198038"/>
                <w:sz w:val="18"/>
                <w:szCs w:val="18"/>
              </w:rPr>
              <w:t xml:space="preserve">80%</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Defect Escape Rate Reduction</w:t>
            </w:r>
          </w:p>
        </w:tc>
        <w:tc>
          <w:tcPr>
            <w:tcW w:type="dxa" w:w="4225"/>
            <w:tcBorders>
              <w:top w:val="single" w:color="FFFFFF" w:sz="0"/>
              <w:left w:val="single" w:color="FFFFFF" w:sz="0"/>
              <w:bottom w:val="single" w:color="FFFFFF" w:sz="0"/>
              <w:right w:val="single" w:color="FFFFFF" w:sz="0"/>
            </w:tcBorders>
            <w:shd w:fill="0F62FE" w:val="clear"/>
          </w:tcPr>
          <w:p>
            <w:pPr>
              <w:spacing w:after="0"/>
            </w:pPr>
          </w:p>
        </w:tc>
        <w:tc>
          <w:tcPr>
            <w:tcW w:type="dxa" w:w="975"/>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F62FE"/>
                <w:sz w:val="18"/>
                <w:szCs w:val="18"/>
              </w:rPr>
              <w:t xml:space="preserve">65%</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Regression Cycle Time Cut</w:t>
            </w:r>
          </w:p>
        </w:tc>
        <w:tc>
          <w:tcPr>
            <w:tcW w:type="dxa" w:w="4550"/>
            <w:tcBorders>
              <w:top w:val="single" w:color="FFFFFF" w:sz="0"/>
              <w:left w:val="single" w:color="FFFFFF" w:sz="0"/>
              <w:bottom w:val="single" w:color="FFFFFF" w:sz="0"/>
              <w:right w:val="single" w:color="FFFFFF" w:sz="0"/>
            </w:tcBorders>
            <w:shd w:fill="009D9A" w:val="clear"/>
          </w:tcPr>
          <w:p>
            <w:pPr>
              <w:spacing w:after="0"/>
            </w:pPr>
          </w:p>
        </w:tc>
        <w:tc>
          <w:tcPr>
            <w:tcW w:type="dxa" w:w="650"/>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09D9A"/>
                <w:sz w:val="18"/>
                <w:szCs w:val="18"/>
              </w:rPr>
              <w:t xml:space="preserve">70%</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Test Maintenance Effort Reduced</w:t>
            </w:r>
          </w:p>
        </w:tc>
        <w:tc>
          <w:tcPr>
            <w:tcW w:type="dxa" w:w="3575"/>
            <w:tcBorders>
              <w:top w:val="single" w:color="FFFFFF" w:sz="0"/>
              <w:left w:val="single" w:color="FFFFFF" w:sz="0"/>
              <w:bottom w:val="single" w:color="FFFFFF" w:sz="0"/>
              <w:right w:val="single" w:color="FFFFFF" w:sz="0"/>
            </w:tcBorders>
            <w:shd w:fill="001141" w:val="clear"/>
          </w:tcPr>
          <w:p>
            <w:pPr>
              <w:spacing w:after="0"/>
            </w:pPr>
          </w:p>
        </w:tc>
        <w:tc>
          <w:tcPr>
            <w:tcW w:type="dxa" w:w="1625"/>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001141"/>
                <w:sz w:val="18"/>
                <w:szCs w:val="18"/>
              </w:rPr>
              <w:t xml:space="preserve">55%</w:t>
            </w:r>
          </w:p>
        </w:tc>
      </w:tr>
      <w:tr>
        <w:tc>
          <w:tcPr>
            <w:tcW w:type="dxa" w:w="2600"/>
            <w:tcBorders>
              <w:top w:val="single" w:color="FFFFFF" w:sz="0"/>
              <w:left w:val="single" w:color="FFFFFF" w:sz="0"/>
              <w:bottom w:val="single" w:color="FFFFFF" w:sz="0"/>
              <w:right w:val="single" w:color="FFFFFF" w:sz="0"/>
            </w:tcBorders>
            <w:tcMar>
              <w:right w:type="dxa" w:w="80"/>
            </w:tcMar>
            <w:vAlign w:val="center"/>
          </w:tcPr>
          <w:p>
            <w:pPr>
              <w:spacing w:after="0"/>
            </w:pPr>
            <w:r>
              <w:rPr>
                <w:rFonts w:ascii="Calibri" w:cs="Calibri" w:eastAsia="Calibri" w:hAnsi="Calibri"/>
                <w:color w:val="21272A"/>
                <w:sz w:val="18"/>
                <w:szCs w:val="18"/>
              </w:rPr>
              <w:t xml:space="preserve">Production Incident Rate</w:t>
            </w:r>
          </w:p>
        </w:tc>
        <w:tc>
          <w:tcPr>
            <w:tcW w:type="dxa" w:w="2600"/>
            <w:tcBorders>
              <w:top w:val="single" w:color="FFFFFF" w:sz="0"/>
              <w:left w:val="single" w:color="FFFFFF" w:sz="0"/>
              <w:bottom w:val="single" w:color="FFFFFF" w:sz="0"/>
              <w:right w:val="single" w:color="FFFFFF" w:sz="0"/>
            </w:tcBorders>
            <w:shd w:fill="FF832B" w:val="clear"/>
          </w:tcPr>
          <w:p>
            <w:pPr>
              <w:spacing w:after="0"/>
            </w:pPr>
          </w:p>
        </w:tc>
        <w:tc>
          <w:tcPr>
            <w:tcW w:type="dxa" w:w="2600"/>
            <w:tcBorders>
              <w:top w:val="single" w:color="FFFFFF" w:sz="0"/>
              <w:left w:val="single" w:color="FFFFFF" w:sz="0"/>
              <w:bottom w:val="single" w:color="FFFFFF" w:sz="0"/>
              <w:right w:val="single" w:color="FFFFFF" w:sz="0"/>
            </w:tcBorders>
            <w:shd w:fill="E8E8E8" w:val="clear"/>
          </w:tcPr>
          <w:p>
            <w:pPr>
              <w:spacing w:after="0"/>
            </w:pPr>
          </w:p>
        </w:tc>
        <w:tc>
          <w:tcPr>
            <w:tcW w:type="dxa" w:w="1200"/>
            <w:tcBorders>
              <w:top w:val="single" w:color="FFFFFF" w:sz="0"/>
              <w:left w:val="single" w:color="FFFFFF" w:sz="0"/>
              <w:bottom w:val="single" w:color="FFFFFF" w:sz="0"/>
              <w:right w:val="single" w:color="FFFFFF" w:sz="0"/>
            </w:tcBorders>
            <w:tcMar>
              <w:left w:type="dxa" w:w="80"/>
            </w:tcMar>
            <w:vAlign w:val="center"/>
          </w:tcPr>
          <w:p>
            <w:pPr>
              <w:spacing w:after="0"/>
              <w:jc w:val="right"/>
            </w:pPr>
            <w:r>
              <w:rPr>
                <w:rFonts w:ascii="Calibri" w:cs="Calibri" w:eastAsia="Calibri" w:hAnsi="Calibri"/>
                <w:b/>
                <w:bCs/>
                <w:color w:val="FF832B"/>
                <w:sz w:val="18"/>
                <w:szCs w:val="18"/>
              </w:rPr>
              <w:t xml:space="preserve">40%</w:t>
            </w:r>
          </w:p>
        </w:tc>
      </w:tr>
    </w:tbl>
    <w:p>
      <w:pPr>
        <w:spacing w:after="160" w:before="80"/>
        <w:jc w:val="center"/>
      </w:pPr>
      <w:r>
        <w:rPr>
          <w:rFonts w:ascii="Calibri" w:cs="Calibri" w:eastAsia="Calibri" w:hAnsi="Calibri"/>
          <w:i/>
          <w:iCs/>
          <w:color w:val="6F6F6F"/>
          <w:sz w:val="16"/>
          <w:szCs w:val="16"/>
        </w:rPr>
        <w:t xml:space="preserve">IBM's quality engineering targets for Horizon's AMS portfolio at 12-month programme maturity.</w:t>
      </w:r>
    </w:p>
    <w:p>
      <w:r>
        <w:br w:type="page"/>
      </w:r>
    </w:p>
    <w:p>
      <w:pPr>
        <w:pBdr>
          <w:bottom w:val="single" w:color="0F62FE" w:sz="4" w:space="4"/>
        </w:pBdr>
        <w:spacing w:after="80" w:before="240"/>
      </w:pPr>
      <w:r>
        <w:rPr>
          <w:rFonts w:ascii="Calibri" w:cs="Calibri" w:eastAsia="Calibri" w:hAnsi="Calibri"/>
          <w:b/>
          <w:bCs/>
          <w:color w:val="001141"/>
          <w:sz w:val="44"/>
          <w:szCs w:val="44"/>
        </w:rPr>
        <w:t xml:space="preserve">Phased Transformation Roadmap</w:t>
      </w:r>
    </w:p>
    <w:p>
      <w:pPr>
        <w:spacing w:after="200"/>
      </w:pPr>
      <w:r>
        <w:rPr>
          <w:rFonts w:ascii="Calibri" w:cs="Calibri" w:eastAsia="Calibri" w:hAnsi="Calibri"/>
          <w:i/>
          <w:iCs/>
          <w:color w:val="6F6F6F"/>
          <w:sz w:val="22"/>
          <w:szCs w:val="22"/>
        </w:rPr>
        <w:t xml:space="preserve">A Structured, Compounding Journey from Stabilization to Autonomous Operations</w:t>
      </w:r>
    </w:p>
    <w:p>
      <w:pPr>
        <w:spacing w:after="100"/>
        <w:jc w:val="both"/>
      </w:pPr>
      <w:r>
        <w:rPr>
          <w:rFonts w:ascii="Calibri" w:cs="Calibri" w:eastAsia="Calibri" w:hAnsi="Calibri"/>
          <w:color w:val="21272A"/>
          <w:sz w:val="20"/>
          <w:szCs w:val="20"/>
        </w:rPr>
        <w:t xml:space="preserve">IBM's proposed transformation follows a structured, phased approach — delivering quick wins in the immediate term while building the foundation for long-term enterprise transformation. Each phase builds on the last, compounding value across the portfolio.</w:t>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gridCol w:w="100"/>
        <w:gridCol w:w="100"/>
      </w:tblGrid>
      <w:tr>
        <w:tc>
          <w:tcPr>
            <w:tcW w:type="dxa" w:w="2268"/>
            <w:tcBorders>
              <w:top w:val="single" w:color="FFFFFF" w:sz="0"/>
              <w:left w:val="single" w:color="FFFFFF" w:sz="0"/>
              <w:bottom w:val="single" w:color="FFFFFF" w:sz="0"/>
              <w:right w:val="single" w:color="FFFFFF" w:sz="8"/>
            </w:tcBorders>
            <w:shd w:fill="0F62FE" w:val="clear"/>
            <w:tcMar>
              <w:top w:type="dxa" w:w="100"/>
              <w:left w:type="dxa" w:w="80"/>
              <w:bottom w:type="dxa" w:w="100"/>
              <w:right w:type="dxa" w:w="80"/>
            </w:tcMar>
          </w:tcPr>
          <w:p>
            <w:pPr>
              <w:jc w:val="center"/>
            </w:pPr>
            <w:r>
              <w:rPr>
                <w:rFonts w:ascii="Calibri" w:cs="Calibri" w:eastAsia="Calibri" w:hAnsi="Calibri"/>
                <w:b/>
                <w:bCs/>
                <w:color w:val="FFFFFF"/>
                <w:sz w:val="20"/>
                <w:szCs w:val="20"/>
              </w:rPr>
              <w:t xml:space="preserve">Phase 0 — Foundation</w:t>
            </w:r>
          </w:p>
          <w:p>
            <w:pPr>
              <w:jc w:val="center"/>
            </w:pPr>
            <w:r>
              <w:rPr>
                <w:rFonts w:ascii="Calibri" w:cs="Calibri" w:eastAsia="Calibri" w:hAnsi="Calibri"/>
                <w:color w:val="D0E2FF"/>
                <w:sz w:val="17"/>
                <w:szCs w:val="17"/>
              </w:rPr>
              <w:t xml:space="preserve">0–8 Weeks</w:t>
            </w:r>
          </w:p>
        </w:tc>
        <w:tc>
          <w:tcPr>
            <w:tcW w:type="dxa" w:w="2268"/>
            <w:tcBorders>
              <w:top w:val="single" w:color="FFFFFF" w:sz="0"/>
              <w:left w:val="single" w:color="FFFFFF" w:sz="0"/>
              <w:bottom w:val="single" w:color="FFFFFF" w:sz="0"/>
              <w:right w:val="single" w:color="FFFFFF" w:sz="8"/>
            </w:tcBorders>
            <w:shd w:fill="0050E6" w:val="clear"/>
            <w:tcMar>
              <w:top w:type="dxa" w:w="100"/>
              <w:left w:type="dxa" w:w="80"/>
              <w:bottom w:type="dxa" w:w="100"/>
              <w:right w:type="dxa" w:w="80"/>
            </w:tcMar>
          </w:tcPr>
          <w:p>
            <w:pPr>
              <w:jc w:val="center"/>
            </w:pPr>
            <w:r>
              <w:rPr>
                <w:rFonts w:ascii="Calibri" w:cs="Calibri" w:eastAsia="Calibri" w:hAnsi="Calibri"/>
                <w:b/>
                <w:bCs/>
                <w:color w:val="FFFFFF"/>
                <w:sz w:val="20"/>
                <w:szCs w:val="20"/>
              </w:rPr>
              <w:t xml:space="preserve">Phase 1 — Ignite</w:t>
            </w:r>
          </w:p>
          <w:p>
            <w:pPr>
              <w:jc w:val="center"/>
            </w:pPr>
            <w:r>
              <w:rPr>
                <w:rFonts w:ascii="Calibri" w:cs="Calibri" w:eastAsia="Calibri" w:hAnsi="Calibri"/>
                <w:color w:val="D0E2FF"/>
                <w:sz w:val="17"/>
                <w:szCs w:val="17"/>
              </w:rPr>
              <w:t xml:space="preserve">1–3 Months</w:t>
            </w:r>
          </w:p>
        </w:tc>
        <w:tc>
          <w:tcPr>
            <w:tcW w:type="dxa" w:w="2268"/>
            <w:tcBorders>
              <w:top w:val="single" w:color="FFFFFF" w:sz="0"/>
              <w:left w:val="single" w:color="FFFFFF" w:sz="0"/>
              <w:bottom w:val="single" w:color="FFFFFF" w:sz="0"/>
              <w:right w:val="single" w:color="FFFFFF" w:sz="8"/>
            </w:tcBorders>
            <w:shd w:fill="003CBF" w:val="clear"/>
            <w:tcMar>
              <w:top w:type="dxa" w:w="100"/>
              <w:left w:type="dxa" w:w="80"/>
              <w:bottom w:type="dxa" w:w="100"/>
              <w:right w:type="dxa" w:w="80"/>
            </w:tcMar>
          </w:tcPr>
          <w:p>
            <w:pPr>
              <w:jc w:val="center"/>
            </w:pPr>
            <w:r>
              <w:rPr>
                <w:rFonts w:ascii="Calibri" w:cs="Calibri" w:eastAsia="Calibri" w:hAnsi="Calibri"/>
                <w:b/>
                <w:bCs/>
                <w:color w:val="FFFFFF"/>
                <w:sz w:val="20"/>
                <w:szCs w:val="20"/>
              </w:rPr>
              <w:t xml:space="preserve">Phase 2 — Scale</w:t>
            </w:r>
          </w:p>
          <w:p>
            <w:pPr>
              <w:jc w:val="center"/>
            </w:pPr>
            <w:r>
              <w:rPr>
                <w:rFonts w:ascii="Calibri" w:cs="Calibri" w:eastAsia="Calibri" w:hAnsi="Calibri"/>
                <w:color w:val="D0E2FF"/>
                <w:sz w:val="17"/>
                <w:szCs w:val="17"/>
              </w:rPr>
              <w:t xml:space="preserve">3–6 Months</w:t>
            </w:r>
          </w:p>
        </w:tc>
        <w:tc>
          <w:tcPr>
            <w:tcW w:type="dxa" w:w="2268"/>
            <w:tcBorders>
              <w:top w:val="single" w:color="FFFFFF" w:sz="0"/>
              <w:left w:val="single" w:color="FFFFFF" w:sz="0"/>
              <w:bottom w:val="single" w:color="FFFFFF" w:sz="0"/>
              <w:right w:val="single" w:color="FFFFFF" w:sz="8"/>
            </w:tcBorders>
            <w:shd w:fill="00288A" w:val="clear"/>
            <w:tcMar>
              <w:top w:type="dxa" w:w="100"/>
              <w:left w:type="dxa" w:w="80"/>
              <w:bottom w:type="dxa" w:w="100"/>
              <w:right w:type="dxa" w:w="80"/>
            </w:tcMar>
          </w:tcPr>
          <w:p>
            <w:pPr>
              <w:jc w:val="center"/>
            </w:pPr>
            <w:r>
              <w:rPr>
                <w:rFonts w:ascii="Calibri" w:cs="Calibri" w:eastAsia="Calibri" w:hAnsi="Calibri"/>
                <w:b/>
                <w:bCs/>
                <w:color w:val="FFFFFF"/>
                <w:sz w:val="20"/>
                <w:szCs w:val="20"/>
              </w:rPr>
              <w:t xml:space="preserve">Phase 3 — Optimise</w:t>
            </w:r>
          </w:p>
          <w:p>
            <w:pPr>
              <w:jc w:val="center"/>
            </w:pPr>
            <w:r>
              <w:rPr>
                <w:rFonts w:ascii="Calibri" w:cs="Calibri" w:eastAsia="Calibri" w:hAnsi="Calibri"/>
                <w:color w:val="D0E2FF"/>
                <w:sz w:val="17"/>
                <w:szCs w:val="17"/>
              </w:rPr>
              <w:t xml:space="preserve">6–12 Months</w:t>
            </w:r>
          </w:p>
        </w:tc>
      </w:tr>
      <w:tr>
        <w:tc>
          <w:tcPr>
            <w:tcW w:type="dxa" w:w="2268"/>
            <w:tcBorders>
              <w:top w:val="single" w:color="FFFFFF" w:sz="0"/>
              <w:left w:val="single" w:color="FFFFFF" w:sz="0"/>
              <w:bottom w:val="single" w:color="FFFFFF" w:sz="0"/>
              <w:right w:val="single" w:color="C6C6C6" w:sz="4"/>
            </w:tcBorders>
            <w:shd w:fill="F4F4F4" w:val="clear"/>
            <w:tcMar>
              <w:top w:type="dxa" w:w="120"/>
              <w:left w:type="dxa" w:w="100"/>
              <w:bottom w:type="dxa" w:w="120"/>
              <w:right w:type="dxa" w:w="100"/>
            </w:tcMar>
          </w:tcPr>
          <w:p>
            <w:pPr>
              <w:spacing w:after="60"/>
            </w:pPr>
            <w:r>
              <w:rPr>
                <w:rFonts w:ascii="Calibri" w:cs="Calibri" w:eastAsia="Calibri" w:hAnsi="Calibri"/>
                <w:color w:val="21272A"/>
                <w:sz w:val="18"/>
                <w:szCs w:val="18"/>
              </w:rPr>
              <w:t xml:space="preserve">› Command Center assessment &amp; blueprint</w:t>
            </w:r>
          </w:p>
          <w:p>
            <w:pPr>
              <w:spacing w:after="60"/>
            </w:pPr>
            <w:r>
              <w:rPr>
                <w:rFonts w:ascii="Calibri" w:cs="Calibri" w:eastAsia="Calibri" w:hAnsi="Calibri"/>
                <w:color w:val="21272A"/>
                <w:sz w:val="18"/>
                <w:szCs w:val="18"/>
              </w:rPr>
              <w:t xml:space="preserve">› ICOE architecture definition</w:t>
            </w:r>
          </w:p>
          <w:p>
            <w:pPr>
              <w:spacing w:after="60"/>
            </w:pPr>
            <w:r>
              <w:rPr>
                <w:rFonts w:ascii="Calibri" w:cs="Calibri" w:eastAsia="Calibri" w:hAnsi="Calibri"/>
                <w:color w:val="21272A"/>
                <w:sz w:val="18"/>
                <w:szCs w:val="18"/>
              </w:rPr>
              <w:t xml:space="preserve">› Quote to Cart KPI alignment roadmap</w:t>
            </w:r>
          </w:p>
          <w:p>
            <w:pPr>
              <w:spacing w:after="60"/>
            </w:pPr>
            <w:r>
              <w:rPr>
                <w:rFonts w:ascii="Calibri" w:cs="Calibri" w:eastAsia="Calibri" w:hAnsi="Calibri"/>
                <w:color w:val="21272A"/>
                <w:sz w:val="18"/>
                <w:szCs w:val="18"/>
              </w:rPr>
              <w:t xml:space="preserve">› AIOps baseline measurement</w:t>
            </w:r>
          </w:p>
          <w:p>
            <w:pPr>
              <w:spacing w:after="60"/>
            </w:pPr>
            <w:r>
              <w:rPr>
                <w:rFonts w:ascii="Calibri" w:cs="Calibri" w:eastAsia="Calibri" w:hAnsi="Calibri"/>
                <w:color w:val="21272A"/>
                <w:sz w:val="18"/>
                <w:szCs w:val="18"/>
              </w:rPr>
              <w:t xml:space="preserve">› Risk-free transition planning</w:t>
            </w:r>
          </w:p>
        </w:tc>
        <w:tc>
          <w:tcPr>
            <w:tcW w:type="dxa" w:w="2268"/>
            <w:tcBorders>
              <w:top w:val="single" w:color="FFFFFF" w:sz="0"/>
              <w:left w:val="single" w:color="FFFFFF" w:sz="0"/>
              <w:bottom w:val="single" w:color="FFFFFF" w:sz="0"/>
              <w:right w:val="single" w:color="C6C6C6" w:sz="4"/>
            </w:tcBorders>
            <w:shd w:fill="EAEAEA" w:val="clear"/>
            <w:tcMar>
              <w:top w:type="dxa" w:w="120"/>
              <w:left w:type="dxa" w:w="100"/>
              <w:bottom w:type="dxa" w:w="120"/>
              <w:right w:type="dxa" w:w="100"/>
            </w:tcMar>
          </w:tcPr>
          <w:p>
            <w:pPr>
              <w:spacing w:after="60"/>
            </w:pPr>
            <w:r>
              <w:rPr>
                <w:rFonts w:ascii="Calibri" w:cs="Calibri" w:eastAsia="Calibri" w:hAnsi="Calibri"/>
                <w:color w:val="21272A"/>
                <w:sz w:val="18"/>
                <w:szCs w:val="18"/>
              </w:rPr>
              <w:t xml:space="preserve">› Integration Simplification &amp; ICOE Modernization Roadmap</w:t>
            </w:r>
          </w:p>
          <w:p>
            <w:pPr>
              <w:spacing w:after="60"/>
            </w:pPr>
            <w:r>
              <w:rPr>
                <w:rFonts w:ascii="Calibri" w:cs="Calibri" w:eastAsia="Calibri" w:hAnsi="Calibri"/>
                <w:color w:val="21272A"/>
                <w:sz w:val="18"/>
                <w:szCs w:val="18"/>
              </w:rPr>
              <w:t xml:space="preserve">› Document Generation modernization (HLGS)</w:t>
            </w:r>
          </w:p>
          <w:p>
            <w:pPr>
              <w:spacing w:after="60"/>
            </w:pPr>
            <w:r>
              <w:rPr>
                <w:rFonts w:ascii="Calibri" w:cs="Calibri" w:eastAsia="Calibri" w:hAnsi="Calibri"/>
                <w:color w:val="21272A"/>
                <w:sz w:val="18"/>
                <w:szCs w:val="18"/>
              </w:rPr>
              <w:t xml:space="preserve">› Initial AIOps and monitoring deployment</w:t>
            </w:r>
          </w:p>
          <w:p>
            <w:pPr>
              <w:spacing w:after="60"/>
            </w:pPr>
            <w:r>
              <w:rPr>
                <w:rFonts w:ascii="Calibri" w:cs="Calibri" w:eastAsia="Calibri" w:hAnsi="Calibri"/>
                <w:color w:val="21272A"/>
                <w:sz w:val="18"/>
                <w:szCs w:val="18"/>
              </w:rPr>
              <w:t xml:space="preserve">› Test automation framework initiation</w:t>
            </w:r>
          </w:p>
          <w:p>
            <w:pPr>
              <w:spacing w:after="60"/>
            </w:pPr>
            <w:r>
              <w:rPr>
                <w:rFonts w:ascii="Calibri" w:cs="Calibri" w:eastAsia="Calibri" w:hAnsi="Calibri"/>
                <w:color w:val="21272A"/>
                <w:sz w:val="18"/>
                <w:szCs w:val="18"/>
              </w:rPr>
              <w:t xml:space="preserve">› Innovation Council formation</w:t>
            </w:r>
          </w:p>
        </w:tc>
        <w:tc>
          <w:tcPr>
            <w:tcW w:type="dxa" w:w="2268"/>
            <w:tcBorders>
              <w:top w:val="single" w:color="FFFFFF" w:sz="0"/>
              <w:left w:val="single" w:color="FFFFFF" w:sz="0"/>
              <w:bottom w:val="single" w:color="FFFFFF" w:sz="0"/>
              <w:right w:val="single" w:color="C6C6C6" w:sz="4"/>
            </w:tcBorders>
            <w:shd w:fill="F4F4F4" w:val="clear"/>
            <w:tcMar>
              <w:top w:type="dxa" w:w="120"/>
              <w:left w:type="dxa" w:w="100"/>
              <w:bottom w:type="dxa" w:w="120"/>
              <w:right w:type="dxa" w:w="100"/>
            </w:tcMar>
          </w:tcPr>
          <w:p>
            <w:pPr>
              <w:spacing w:after="60"/>
            </w:pPr>
            <w:r>
              <w:rPr>
                <w:rFonts w:ascii="Calibri" w:cs="Calibri" w:eastAsia="Calibri" w:hAnsi="Calibri"/>
                <w:color w:val="21272A"/>
                <w:sz w:val="18"/>
                <w:szCs w:val="18"/>
              </w:rPr>
              <w:t xml:space="preserve">› Unified Payments &amp; Mainframe modernization</w:t>
            </w:r>
          </w:p>
          <w:p>
            <w:pPr>
              <w:spacing w:after="60"/>
            </w:pPr>
            <w:r>
              <w:rPr>
                <w:rFonts w:ascii="Calibri" w:cs="Calibri" w:eastAsia="Calibri" w:hAnsi="Calibri"/>
                <w:color w:val="21272A"/>
                <w:sz w:val="18"/>
                <w:szCs w:val="18"/>
              </w:rPr>
              <w:t xml:space="preserve">› COBOL → Java modernization pilot</w:t>
            </w:r>
          </w:p>
          <w:p>
            <w:pPr>
              <w:spacing w:after="60"/>
            </w:pPr>
            <w:r>
              <w:rPr>
                <w:rFonts w:ascii="Calibri" w:cs="Calibri" w:eastAsia="Calibri" w:hAnsi="Calibri"/>
                <w:color w:val="21272A"/>
                <w:sz w:val="18"/>
                <w:szCs w:val="18"/>
              </w:rPr>
              <w:t xml:space="preserve">› AI-assisted Dev + Intelligent QA rollout</w:t>
            </w:r>
          </w:p>
          <w:p>
            <w:pPr>
              <w:spacing w:after="60"/>
            </w:pPr>
            <w:r>
              <w:rPr>
                <w:rFonts w:ascii="Calibri" w:cs="Calibri" w:eastAsia="Calibri" w:hAnsi="Calibri"/>
                <w:color w:val="21272A"/>
                <w:sz w:val="18"/>
                <w:szCs w:val="18"/>
              </w:rPr>
              <w:t xml:space="preserve">› Digital Front Door Phase 2–3 delivery</w:t>
            </w:r>
          </w:p>
          <w:p>
            <w:pPr>
              <w:spacing w:after="60"/>
            </w:pPr>
            <w:r>
              <w:rPr>
                <w:rFonts w:ascii="Calibri" w:cs="Calibri" w:eastAsia="Calibri" w:hAnsi="Calibri"/>
                <w:color w:val="21272A"/>
                <w:sz w:val="18"/>
                <w:szCs w:val="18"/>
              </w:rPr>
              <w:t xml:space="preserve">› Agentic AI incident triage live</w:t>
            </w:r>
          </w:p>
        </w:tc>
        <w:tc>
          <w:tcPr>
            <w:tcW w:type="dxa" w:w="2268"/>
            <w:tcBorders>
              <w:top w:val="single" w:color="FFFFFF" w:sz="0"/>
              <w:left w:val="single" w:color="FFFFFF" w:sz="0"/>
              <w:bottom w:val="single" w:color="FFFFFF" w:sz="0"/>
              <w:right w:val="single" w:color="C6C6C6" w:sz="4"/>
            </w:tcBorders>
            <w:shd w:fill="EAEAEA" w:val="clear"/>
            <w:tcMar>
              <w:top w:type="dxa" w:w="120"/>
              <w:left w:type="dxa" w:w="100"/>
              <w:bottom w:type="dxa" w:w="120"/>
              <w:right w:type="dxa" w:w="100"/>
            </w:tcMar>
          </w:tcPr>
          <w:p>
            <w:pPr>
              <w:spacing w:after="60"/>
            </w:pPr>
            <w:r>
              <w:rPr>
                <w:rFonts w:ascii="Calibri" w:cs="Calibri" w:eastAsia="Calibri" w:hAnsi="Calibri"/>
                <w:color w:val="21272A"/>
                <w:sz w:val="18"/>
                <w:szCs w:val="18"/>
              </w:rPr>
              <w:t xml:space="preserve">› Agentic AI for full incident autonomy</w:t>
            </w:r>
          </w:p>
          <w:p>
            <w:pPr>
              <w:spacing w:after="60"/>
            </w:pPr>
            <w:r>
              <w:rPr>
                <w:rFonts w:ascii="Calibri" w:cs="Calibri" w:eastAsia="Calibri" w:hAnsi="Calibri"/>
                <w:color w:val="21272A"/>
                <w:sz w:val="18"/>
                <w:szCs w:val="18"/>
              </w:rPr>
              <w:t xml:space="preserve">› Quote to Cart full production launch</w:t>
            </w:r>
          </w:p>
          <w:p>
            <w:pPr>
              <w:spacing w:after="60"/>
            </w:pPr>
            <w:r>
              <w:rPr>
                <w:rFonts w:ascii="Calibri" w:cs="Calibri" w:eastAsia="Calibri" w:hAnsi="Calibri"/>
                <w:color w:val="21272A"/>
                <w:sz w:val="18"/>
                <w:szCs w:val="18"/>
              </w:rPr>
              <w:t xml:space="preserve">› Claims adjudication parallel-run initiated</w:t>
            </w:r>
          </w:p>
          <w:p>
            <w:pPr>
              <w:spacing w:after="60"/>
            </w:pPr>
            <w:r>
              <w:rPr>
                <w:rFonts w:ascii="Calibri" w:cs="Calibri" w:eastAsia="Calibri" w:hAnsi="Calibri"/>
                <w:color w:val="21272A"/>
                <w:sz w:val="18"/>
                <w:szCs w:val="18"/>
              </w:rPr>
              <w:t xml:space="preserve">› GenAI development lifecycle integrated</w:t>
            </w:r>
          </w:p>
          <w:p>
            <w:pPr>
              <w:spacing w:after="60"/>
            </w:pPr>
            <w:r>
              <w:rPr>
                <w:rFonts w:ascii="Calibri" w:cs="Calibri" w:eastAsia="Calibri" w:hAnsi="Calibri"/>
                <w:color w:val="21272A"/>
                <w:sz w:val="18"/>
                <w:szCs w:val="18"/>
              </w:rPr>
              <w:t xml:space="preserve">› Predictive capacity management live</w:t>
            </w:r>
          </w:p>
        </w:tc>
      </w:tr>
    </w:tbl>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pBdr>
                <w:left w:val="single" w:color="001141" w:sz="20" w:space="8"/>
              </w:pBdr>
              <w:spacing w:after="80" w:before="180"/>
              <w:ind w:left="120"/>
            </w:pPr>
            <w:r>
              <w:rPr>
                <w:rFonts w:ascii="Calibri" w:cs="Calibri" w:eastAsia="Calibri" w:hAnsi="Calibri"/>
                <w:b/>
                <w:bCs/>
                <w:color w:val="001141"/>
                <w:sz w:val="22"/>
                <w:szCs w:val="22"/>
              </w:rPr>
              <w:t xml:space="preserve">Phase 4 — Transform (12–24 Months)</w:t>
            </w:r>
          </w:p>
          <w:p>
            <w:pPr>
              <w:pStyle w:val="ListParagraph"/>
              <w:numPr>
                <w:ilvl w:val="0"/>
                <w:numId w:val="1"/>
              </w:numPr>
              <w:spacing w:after="80"/>
              <w:ind w:left="360"/>
            </w:pPr>
            <w:r>
              <w:rPr>
                <w:rFonts w:ascii="Calibri" w:cs="Calibri" w:eastAsia="Calibri" w:hAnsi="Calibri"/>
                <w:color w:val="21272A"/>
                <w:sz w:val="20"/>
                <w:szCs w:val="20"/>
              </w:rPr>
              <w:t xml:space="preserve">Full autonomous operations for P3/P4 incidents.</w:t>
            </w:r>
          </w:p>
          <w:p>
            <w:pPr>
              <w:pStyle w:val="ListParagraph"/>
              <w:numPr>
                <w:ilvl w:val="0"/>
                <w:numId w:val="1"/>
              </w:numPr>
              <w:spacing w:after="80"/>
              <w:ind w:left="360"/>
            </w:pPr>
            <w:r>
              <w:rPr>
                <w:rFonts w:ascii="Calibri" w:cs="Calibri" w:eastAsia="Calibri" w:hAnsi="Calibri"/>
                <w:color w:val="21272A"/>
                <w:sz w:val="20"/>
                <w:szCs w:val="20"/>
              </w:rPr>
              <w:t xml:space="preserve">Mainframe eligibility processing on AWS — production.</w:t>
            </w:r>
          </w:p>
          <w:p>
            <w:pPr>
              <w:pStyle w:val="ListParagraph"/>
              <w:numPr>
                <w:ilvl w:val="0"/>
                <w:numId w:val="1"/>
              </w:numPr>
              <w:spacing w:after="80"/>
              <w:ind w:left="360"/>
            </w:pPr>
            <w:r>
              <w:rPr>
                <w:rFonts w:ascii="Calibri" w:cs="Calibri" w:eastAsia="Calibri" w:hAnsi="Calibri"/>
                <w:color w:val="21272A"/>
                <w:sz w:val="20"/>
                <w:szCs w:val="20"/>
              </w:rPr>
              <w:t xml:space="preserve">AI personalization engine live (DFD Phase 4).</w:t>
            </w:r>
          </w:p>
          <w:p>
            <w:pPr>
              <w:pStyle w:val="ListParagraph"/>
              <w:numPr>
                <w:ilvl w:val="0"/>
                <w:numId w:val="1"/>
              </w:numPr>
              <w:spacing w:after="80"/>
              <w:ind w:left="360"/>
            </w:pPr>
            <w:r>
              <w:rPr>
                <w:rFonts w:ascii="Calibri" w:cs="Calibri" w:eastAsia="Calibri" w:hAnsi="Calibri"/>
                <w:color w:val="21272A"/>
                <w:sz w:val="20"/>
                <w:szCs w:val="20"/>
              </w:rPr>
              <w:t xml:space="preserve">COBOL → Java migration complete for pilot workstream.</w:t>
            </w:r>
          </w:p>
          <w:p>
            <w:pPr>
              <w:pStyle w:val="ListParagraph"/>
              <w:numPr>
                <w:ilvl w:val="0"/>
                <w:numId w:val="1"/>
              </w:numPr>
              <w:spacing w:after="80"/>
              <w:ind w:left="360"/>
            </w:pPr>
            <w:r>
              <w:rPr>
                <w:rFonts w:ascii="Calibri" w:cs="Calibri" w:eastAsia="Calibri" w:hAnsi="Calibri"/>
                <w:color w:val="21272A"/>
                <w:sz w:val="20"/>
                <w:szCs w:val="20"/>
              </w:rPr>
              <w:t xml:space="preserve">Enterprise-wide observability platform fully deployed.</w:t>
            </w:r>
          </w:p>
          <w:p>
            <w:pPr>
              <w:pStyle w:val="ListParagraph"/>
              <w:numPr>
                <w:ilvl w:val="0"/>
                <w:numId w:val="1"/>
              </w:numPr>
              <w:spacing w:after="80"/>
              <w:ind w:left="360"/>
            </w:pPr>
            <w:r>
              <w:rPr>
                <w:rFonts w:ascii="Calibri" w:cs="Calibri" w:eastAsia="Calibri" w:hAnsi="Calibri"/>
                <w:color w:val="21272A"/>
                <w:sz w:val="20"/>
                <w:szCs w:val="20"/>
              </w:rPr>
              <w:t xml:space="preserve">Claims adjudication cutover initiated.</w:t>
            </w:r>
          </w:p>
        </w:tc>
        <w:tc>
          <w:tcPr>
            <w:tcW w:type="dxa" w:w="4320"/>
            <w:tcBorders>
              <w:top w:val="single" w:color="FFFFFF" w:sz="0"/>
              <w:left w:val="single" w:color="FFFFFF" w:sz="0"/>
              <w:bottom w:val="single" w:color="FFFFFF" w:sz="0"/>
              <w:right w:val="single" w:color="FFFFFF" w:sz="0"/>
            </w:tcBorders>
            <w:tcMar>
              <w:left w:type="dxa" w:w="220"/>
            </w:tcMar>
          </w:tcPr>
          <w:p>
            <w:pPr>
              <w:pBdr>
                <w:left w:val="single" w:color="001141" w:sz="20" w:space="8"/>
              </w:pBdr>
              <w:spacing w:after="80" w:before="180"/>
              <w:ind w:left="120"/>
            </w:pPr>
            <w:r>
              <w:rPr>
                <w:rFonts w:ascii="Calibri" w:cs="Calibri" w:eastAsia="Calibri" w:hAnsi="Calibri"/>
                <w:b/>
                <w:bCs/>
                <w:color w:val="001141"/>
                <w:sz w:val="22"/>
                <w:szCs w:val="22"/>
              </w:rPr>
              <w:t xml:space="preserve">Governance at Every Phase</w:t>
            </w:r>
          </w:p>
          <w:p>
            <w:pPr>
              <w:pStyle w:val="ListParagraph"/>
              <w:numPr>
                <w:ilvl w:val="0"/>
                <w:numId w:val="1"/>
              </w:numPr>
              <w:spacing w:after="80"/>
              <w:ind w:left="360"/>
            </w:pPr>
            <w:r>
              <w:rPr>
                <w:rFonts w:ascii="Calibri" w:cs="Calibri" w:eastAsia="Calibri" w:hAnsi="Calibri"/>
                <w:color w:val="21272A"/>
                <w:sz w:val="20"/>
                <w:szCs w:val="20"/>
              </w:rPr>
              <w:t xml:space="preserve">Executive Steering Committee: Quarterly IBM VP + Horizon CIO/COO review.</w:t>
            </w:r>
          </w:p>
          <w:p>
            <w:pPr>
              <w:pStyle w:val="ListParagraph"/>
              <w:numPr>
                <w:ilvl w:val="0"/>
                <w:numId w:val="1"/>
              </w:numPr>
              <w:spacing w:after="80"/>
              <w:ind w:left="360"/>
            </w:pPr>
            <w:r>
              <w:rPr>
                <w:rFonts w:ascii="Calibri" w:cs="Calibri" w:eastAsia="Calibri" w:hAnsi="Calibri"/>
                <w:color w:val="21272A"/>
                <w:sz w:val="20"/>
                <w:szCs w:val="20"/>
              </w:rPr>
              <w:t xml:space="preserve">Programme Management Office: Monthly health reporting and risk register.</w:t>
            </w:r>
          </w:p>
          <w:p>
            <w:pPr>
              <w:pStyle w:val="ListParagraph"/>
              <w:numPr>
                <w:ilvl w:val="0"/>
                <w:numId w:val="1"/>
              </w:numPr>
              <w:spacing w:after="80"/>
              <w:ind w:left="360"/>
            </w:pPr>
            <w:r>
              <w:rPr>
                <w:rFonts w:ascii="Calibri" w:cs="Calibri" w:eastAsia="Calibri" w:hAnsi="Calibri"/>
                <w:color w:val="21272A"/>
                <w:sz w:val="20"/>
                <w:szCs w:val="20"/>
              </w:rPr>
              <w:t xml:space="preserve">Delivery Operations Reviews: Bi-weekly SLA and incident trends.</w:t>
            </w:r>
          </w:p>
          <w:p>
            <w:pPr>
              <w:pStyle w:val="ListParagraph"/>
              <w:numPr>
                <w:ilvl w:val="0"/>
                <w:numId w:val="1"/>
              </w:numPr>
              <w:spacing w:after="80"/>
              <w:ind w:left="360"/>
            </w:pPr>
            <w:r>
              <w:rPr>
                <w:rFonts w:ascii="Calibri" w:cs="Calibri" w:eastAsia="Calibri" w:hAnsi="Calibri"/>
                <w:color w:val="21272A"/>
                <w:sz w:val="20"/>
                <w:szCs w:val="20"/>
              </w:rPr>
              <w:t xml:space="preserve">Financial Governance: Monthly actuals vs. committed model.</w:t>
            </w:r>
          </w:p>
          <w:p>
            <w:pPr>
              <w:pStyle w:val="ListParagraph"/>
              <w:numPr>
                <w:ilvl w:val="0"/>
                <w:numId w:val="1"/>
              </w:numPr>
              <w:spacing w:after="80"/>
              <w:ind w:left="360"/>
            </w:pPr>
            <w:r>
              <w:rPr>
                <w:rFonts w:ascii="Calibri" w:cs="Calibri" w:eastAsia="Calibri" w:hAnsi="Calibri"/>
                <w:color w:val="21272A"/>
                <w:sz w:val="20"/>
                <w:szCs w:val="20"/>
              </w:rPr>
              <w:t xml:space="preserve">Innovation Council: Quarterly idea pipeline and prioritisation.</w:t>
            </w:r>
          </w:p>
        </w:tc>
      </w:tr>
    </w:tbl>
    <w:p>
      <w:r>
        <w:br w:type="page"/>
      </w:r>
    </w:p>
    <w:p>
      <w:pPr>
        <w:pBdr>
          <w:bottom w:val="single" w:color="0F62FE" w:sz="4" w:space="4"/>
        </w:pBdr>
        <w:spacing w:after="80" w:before="240"/>
      </w:pPr>
      <w:r>
        <w:rPr>
          <w:rFonts w:ascii="Calibri" w:cs="Calibri" w:eastAsia="Calibri" w:hAnsi="Calibri"/>
          <w:b/>
          <w:bCs/>
          <w:color w:val="001141"/>
          <w:sz w:val="44"/>
          <w:szCs w:val="44"/>
        </w:rPr>
        <w:t xml:space="preserve">Why IBM as Your Transformation Partner</w:t>
      </w:r>
    </w:p>
    <w:p>
      <w:pPr>
        <w:spacing w:after="200"/>
      </w:pPr>
      <w:r>
        <w:rPr>
          <w:rFonts w:ascii="Calibri" w:cs="Calibri" w:eastAsia="Calibri" w:hAnsi="Calibri"/>
          <w:i/>
          <w:iCs/>
          <w:color w:val="6F6F6F"/>
          <w:sz w:val="22"/>
          <w:szCs w:val="22"/>
        </w:rPr>
        <w:t xml:space="preserve">Scale, Depth, and Skin in the Game</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FFFFFF" w:sz="0"/>
              <w:left w:val="single" w:color="0F62FE" w:sz="28"/>
              <w:bottom w:val="single" w:color="FFFFFF" w:sz="0"/>
              <w:right w:val="single" w:color="FFFFFF" w:sz="0"/>
            </w:tcBorders>
            <w:shd w:fill="D0E2FF" w:val="clear"/>
            <w:tcMar>
              <w:top w:type="dxa" w:w="160"/>
              <w:left w:type="dxa" w:w="280"/>
              <w:bottom w:type="dxa" w:w="160"/>
              <w:right w:type="dxa" w:w="280"/>
            </w:tcMar>
          </w:tcPr>
          <w:p>
            <w:pPr>
              <w:spacing w:after="80" w:before="80"/>
              <w:jc w:val="both"/>
            </w:pPr>
            <w:r>
              <w:rPr>
                <w:rFonts w:ascii="Calibri" w:cs="Calibri" w:eastAsia="Calibri" w:hAnsi="Calibri"/>
                <w:b/>
                <w:bCs/>
                <w:color w:val="001141"/>
                <w:sz w:val="23"/>
                <w:szCs w:val="23"/>
              </w:rPr>
              <w:t xml:space="preserve">IBM is the only partner</w:t>
            </w:r>
            <w:r>
              <w:rPr>
                <w:rFonts w:ascii="Calibri" w:cs="Calibri" w:eastAsia="Calibri" w:hAnsi="Calibri"/>
                <w:color w:val="21272A"/>
                <w:sz w:val="23"/>
                <w:szCs w:val="23"/>
              </w:rPr>
              <w:t xml:space="preserve"> that brings together AI-first operating platform capability, deep healthcare payer domain expertise, proven global delivery scale, and a willingness to </w:t>
            </w:r>
            <w:r>
              <w:rPr>
                <w:rFonts w:ascii="Calibri" w:cs="Calibri" w:eastAsia="Calibri" w:hAnsi="Calibri"/>
                <w:b/>
                <w:bCs/>
                <w:color w:val="0F62FE"/>
                <w:sz w:val="23"/>
                <w:szCs w:val="23"/>
              </w:rPr>
              <w:t xml:space="preserve">share outcome risk</w:t>
            </w:r>
            <w:r>
              <w:rPr>
                <w:rFonts w:ascii="Calibri" w:cs="Calibri" w:eastAsia="Calibri" w:hAnsi="Calibri"/>
                <w:color w:val="21272A"/>
                <w:sz w:val="23"/>
                <w:szCs w:val="23"/>
              </w:rPr>
              <w:t xml:space="preserve"> through an outcome-based engagement model.</w:t>
            </w:r>
          </w:p>
        </w:tc>
      </w:tr>
    </w:tbl>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100" w:before="80"/>
            </w:pPr>
            <w:r>
              <w:rPr>
                <w:rFonts w:ascii="Calibri" w:cs="Calibri" w:eastAsia="Calibri" w:hAnsi="Calibri"/>
                <w:b/>
                <w:bCs/>
                <w:color w:val="001141"/>
                <w:sz w:val="26"/>
                <w:szCs w:val="26"/>
              </w:rPr>
              <w:t xml:space="preserve">Enterprise Transformation, Not Just IT</w:t>
            </w:r>
          </w:p>
          <w:p>
            <w:pPr>
              <w:spacing w:after="100"/>
              <w:jc w:val="both"/>
            </w:pPr>
            <w:r>
              <w:rPr>
                <w:rFonts w:ascii="Calibri" w:cs="Calibri" w:eastAsia="Calibri" w:hAnsi="Calibri"/>
                <w:color w:val="21272A"/>
                <w:sz w:val="20"/>
                <w:szCs w:val="20"/>
              </w:rPr>
              <w:t xml:space="preserve">IBM's proposal delivers unified transformation across Operations, Development, and Quality Engineering — not siloed initiatives that optimise one tower while creating drag in another.</w:t>
            </w:r>
          </w:p>
          <w:p>
            <w:pPr>
              <w:spacing w:after="100"/>
              <w:jc w:val="both"/>
            </w:pPr>
            <w:r>
              <w:rPr>
                <w:rFonts w:ascii="Calibri" w:cs="Calibri" w:eastAsia="Calibri" w:hAnsi="Calibri"/>
                <w:color w:val="21272A"/>
                <w:sz w:val="20"/>
                <w:szCs w:val="20"/>
              </w:rPr>
              <w:t xml:space="preserve">IBM's delivery philosophy — AI-Embedded Operations, Scalable Architecture, and Outcome-Based Engagement — ensures that every IBM investment compounds Horizon's capability, not IBM's margin.</w:t>
            </w:r>
          </w:p>
          <w:p>
            <w:pPr>
              <w:pBdr>
                <w:left w:val="single" w:color="0F62FE" w:sz="20" w:space="8"/>
              </w:pBdr>
              <w:spacing w:after="80" w:before="180"/>
              <w:ind w:left="120"/>
            </w:pPr>
            <w:r>
              <w:rPr>
                <w:rFonts w:ascii="Calibri" w:cs="Calibri" w:eastAsia="Calibri" w:hAnsi="Calibri"/>
                <w:b/>
                <w:bCs/>
                <w:color w:val="0F62FE"/>
                <w:sz w:val="22"/>
                <w:szCs w:val="22"/>
              </w:rPr>
              <w:t xml:space="preserve">What Differentiates IBM</w:t>
            </w:r>
          </w:p>
          <w:p>
            <w:pPr>
              <w:pStyle w:val="ListParagraph"/>
              <w:numPr>
                <w:ilvl w:val="0"/>
                <w:numId w:val="1"/>
              </w:numPr>
              <w:spacing w:after="80"/>
              <w:ind w:left="360"/>
            </w:pPr>
            <w:r>
              <w:rPr>
                <w:rFonts w:ascii="Calibri" w:cs="Calibri" w:eastAsia="Calibri" w:hAnsi="Calibri"/>
                <w:b/>
                <w:bCs/>
                <w:color w:val="0F62FE"/>
                <w:sz w:val="20"/>
                <w:szCs w:val="20"/>
              </w:rPr>
              <w:t xml:space="preserve">Skin in the game: </w:t>
            </w:r>
            <w:r>
              <w:rPr>
                <w:rFonts w:ascii="Calibri" w:cs="Calibri" w:eastAsia="Calibri" w:hAnsi="Calibri"/>
                <w:color w:val="21272A"/>
                <w:sz w:val="20"/>
                <w:szCs w:val="20"/>
              </w:rPr>
              <w:t xml:space="preserve">Outcome-based engagement with IBM's full capability depth behind every phase — IBM's success is tied to Horizon's outcomes.</w:t>
            </w:r>
          </w:p>
          <w:p>
            <w:pPr>
              <w:pStyle w:val="ListParagraph"/>
              <w:numPr>
                <w:ilvl w:val="0"/>
                <w:numId w:val="1"/>
              </w:numPr>
              <w:spacing w:after="80"/>
              <w:ind w:left="360"/>
            </w:pPr>
            <w:r>
              <w:rPr>
                <w:rFonts w:ascii="Calibri" w:cs="Calibri" w:eastAsia="Calibri" w:hAnsi="Calibri"/>
                <w:b/>
                <w:bCs/>
                <w:color w:val="0F62FE"/>
                <w:sz w:val="20"/>
                <w:szCs w:val="20"/>
              </w:rPr>
              <w:t xml:space="preserve">AI at depth, not at surface: </w:t>
            </w:r>
            <w:r>
              <w:rPr>
                <w:rFonts w:ascii="Calibri" w:cs="Calibri" w:eastAsia="Calibri" w:hAnsi="Calibri"/>
                <w:color w:val="21272A"/>
                <w:sz w:val="20"/>
                <w:szCs w:val="20"/>
              </w:rPr>
              <w:t xml:space="preserve">IBM's Agentic AI, Generative AI, and AIOps capabilities are production-proven across healthcare and financial services — not proof-of-concept.</w:t>
            </w:r>
          </w:p>
          <w:p>
            <w:pPr>
              <w:pStyle w:val="ListParagraph"/>
              <w:numPr>
                <w:ilvl w:val="0"/>
                <w:numId w:val="1"/>
              </w:numPr>
              <w:spacing w:after="80"/>
              <w:ind w:left="360"/>
            </w:pPr>
            <w:r>
              <w:rPr>
                <w:rFonts w:ascii="Calibri" w:cs="Calibri" w:eastAsia="Calibri" w:hAnsi="Calibri"/>
                <w:b/>
                <w:bCs/>
                <w:color w:val="0F62FE"/>
                <w:sz w:val="20"/>
                <w:szCs w:val="20"/>
              </w:rPr>
              <w:t xml:space="preserve">The BOB Framework: </w:t>
            </w:r>
            <w:r>
              <w:rPr>
                <w:rFonts w:ascii="Calibri" w:cs="Calibri" w:eastAsia="Calibri" w:hAnsi="Calibri"/>
                <w:color w:val="21272A"/>
                <w:sz w:val="20"/>
                <w:szCs w:val="20"/>
              </w:rPr>
              <w:t xml:space="preserve">IBM's BUILD ONCE, BENEFIT reusable asset library compresses implementation time and reduces per-solution cost across the portfolio.</w:t>
            </w:r>
          </w:p>
          <w:p>
            <w:pPr>
              <w:pStyle w:val="ListParagraph"/>
              <w:numPr>
                <w:ilvl w:val="0"/>
                <w:numId w:val="1"/>
              </w:numPr>
              <w:spacing w:after="80"/>
              <w:ind w:left="360"/>
            </w:pPr>
            <w:r>
              <w:rPr>
                <w:rFonts w:ascii="Calibri" w:cs="Calibri" w:eastAsia="Calibri" w:hAnsi="Calibri"/>
                <w:b/>
                <w:bCs/>
                <w:color w:val="0F62FE"/>
                <w:sz w:val="20"/>
                <w:szCs w:val="20"/>
              </w:rPr>
              <w:t xml:space="preserve">Innovation Council: </w:t>
            </w:r>
            <w:r>
              <w:rPr>
                <w:rFonts w:ascii="Calibri" w:cs="Calibri" w:eastAsia="Calibri" w:hAnsi="Calibri"/>
                <w:color w:val="21272A"/>
                <w:sz w:val="20"/>
                <w:szCs w:val="20"/>
              </w:rPr>
              <w:t xml:space="preserve">IBM commits a structured quarterly innovation process — governed, prioritised, business-case-backed innovation at Horizon's direction.</w:t>
            </w:r>
          </w:p>
        </w:tc>
        <w:tc>
          <w:tcPr>
            <w:tcW w:type="dxa" w:w="4320"/>
            <w:tcBorders>
              <w:top w:val="single" w:color="FFFFFF" w:sz="0"/>
              <w:left w:val="single" w:color="FFFFFF" w:sz="0"/>
              <w:bottom w:val="single" w:color="FFFFFF" w:sz="0"/>
              <w:right w:val="single" w:color="FFFFFF" w:sz="0"/>
            </w:tcBorders>
            <w:tcMar>
              <w:left w:type="dxa" w:w="220"/>
            </w:tcMar>
          </w:tcPr>
          <w:p>
            <w:pPr>
              <w:spacing w:after="100" w:before="80"/>
            </w:pPr>
            <w:r>
              <w:rPr>
                <w:rFonts w:ascii="Calibri" w:cs="Calibri" w:eastAsia="Calibri" w:hAnsi="Calibri"/>
                <w:b/>
                <w:bCs/>
                <w:color w:val="001141"/>
                <w:sz w:val="26"/>
                <w:szCs w:val="26"/>
              </w:rPr>
              <w:t xml:space="preserve">IBM's Global Delivery Strength</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536"/>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0F62FE"/>
                      <w:sz w:val="48"/>
                      <w:szCs w:val="48"/>
                    </w:rPr>
                    <w:t xml:space="preserve">20K+</w:t>
                  </w:r>
                </w:p>
                <w:p>
                  <w:pPr>
                    <w:spacing w:after="40"/>
                    <w:jc w:val="center"/>
                  </w:pPr>
                  <w:r>
                    <w:rPr>
                      <w:rFonts w:ascii="Calibri" w:cs="Calibri" w:eastAsia="Calibri" w:hAnsi="Calibri"/>
                      <w:color w:val="21272A"/>
                      <w:sz w:val="17"/>
                      <w:szCs w:val="17"/>
                    </w:rPr>
                    <w:t xml:space="preserve">AI Practitioners</w:t>
                  </w:r>
                </w:p>
              </w:tc>
              <w:tc>
                <w:tcPr>
                  <w:tcW w:type="dxa" w:w="4536"/>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009D9A"/>
                      <w:sz w:val="48"/>
                      <w:szCs w:val="48"/>
                    </w:rPr>
                    <w:t xml:space="preserve">81K+</w:t>
                  </w:r>
                </w:p>
                <w:p>
                  <w:pPr>
                    <w:spacing w:after="40"/>
                    <w:jc w:val="center"/>
                  </w:pPr>
                  <w:r>
                    <w:rPr>
                      <w:rFonts w:ascii="Calibri" w:cs="Calibri" w:eastAsia="Calibri" w:hAnsi="Calibri"/>
                      <w:color w:val="21272A"/>
                      <w:sz w:val="17"/>
                      <w:szCs w:val="17"/>
                    </w:rPr>
                    <w:t xml:space="preserve">Cloud Experts</w:t>
                  </w:r>
                </w:p>
              </w:tc>
            </w:tr>
          </w:tbl>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536"/>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001141"/>
                      <w:sz w:val="48"/>
                      <w:szCs w:val="48"/>
                    </w:rPr>
                    <w:t xml:space="preserve">40K+</w:t>
                  </w:r>
                </w:p>
                <w:p>
                  <w:pPr>
                    <w:spacing w:after="40"/>
                    <w:jc w:val="center"/>
                  </w:pPr>
                  <w:r>
                    <w:rPr>
                      <w:rFonts w:ascii="Calibri" w:cs="Calibri" w:eastAsia="Calibri" w:hAnsi="Calibri"/>
                      <w:color w:val="21272A"/>
                      <w:sz w:val="17"/>
                      <w:szCs w:val="17"/>
                    </w:rPr>
                    <w:t xml:space="preserve">AI Engagements</w:t>
                  </w:r>
                </w:p>
              </w:tc>
              <w:tc>
                <w:tcPr>
                  <w:tcW w:type="dxa" w:w="4536"/>
                  <w:tcBorders>
                    <w:top w:val="single" w:color="FFFFFF" w:sz="0"/>
                    <w:left w:val="single" w:color="FFFFFF" w:sz="0"/>
                    <w:bottom w:val="single" w:color="FFFFFF" w:sz="0"/>
                    <w:right w:val="single" w:color="C6C6C6" w:sz="6"/>
                  </w:tcBorders>
                  <w:shd w:fill="F4F4F4" w:val="clear"/>
                  <w:tcMar>
                    <w:top w:type="dxa" w:w="120"/>
                    <w:left w:type="dxa" w:w="80"/>
                    <w:bottom w:type="dxa" w:w="120"/>
                    <w:right w:type="dxa" w:w="80"/>
                  </w:tcMar>
                </w:tcPr>
                <w:p>
                  <w:pPr>
                    <w:jc w:val="center"/>
                  </w:pPr>
                  <w:r>
                    <w:rPr>
                      <w:rFonts w:ascii="Calibri" w:cs="Calibri" w:eastAsia="Calibri" w:hAnsi="Calibri"/>
                      <w:b/>
                      <w:bCs/>
                      <w:color w:val="198038"/>
                      <w:sz w:val="48"/>
                      <w:szCs w:val="48"/>
                    </w:rPr>
                    <w:t xml:space="preserve">15K+</w:t>
                  </w:r>
                </w:p>
                <w:p>
                  <w:pPr>
                    <w:spacing w:after="40"/>
                    <w:jc w:val="center"/>
                  </w:pPr>
                  <w:r>
                    <w:rPr>
                      <w:rFonts w:ascii="Calibri" w:cs="Calibri" w:eastAsia="Calibri" w:hAnsi="Calibri"/>
                      <w:color w:val="21272A"/>
                      <w:sz w:val="17"/>
                      <w:szCs w:val="17"/>
                    </w:rPr>
                    <w:t xml:space="preserve">Global Centres</w:t>
                  </w:r>
                </w:p>
              </w:tc>
            </w:tr>
          </w:tbl>
          <w:p>
            <w:pPr>
              <w:spacing w:after="40"/>
            </w:pPr>
            <w:r>
              <w:rPr>
                <w:rFonts w:ascii="Calibri" w:cs="Calibri" w:eastAsia="Calibri" w:hAnsi="Calibri"/>
              </w:rPr>
              <w:t xml:space="preserve"/>
            </w:r>
          </w:p>
          <w:p>
            <w:pPr>
              <w:pBdr>
                <w:left w:val="single" w:color="0F62FE" w:sz="20" w:space="8"/>
              </w:pBdr>
              <w:spacing w:after="80" w:before="180"/>
              <w:ind w:left="120"/>
            </w:pPr>
            <w:r>
              <w:rPr>
                <w:rFonts w:ascii="Calibri" w:cs="Calibri" w:eastAsia="Calibri" w:hAnsi="Calibri"/>
                <w:b/>
                <w:bCs/>
                <w:color w:val="0F62FE"/>
                <w:sz w:val="22"/>
                <w:szCs w:val="22"/>
              </w:rPr>
              <w:t xml:space="preserve">Healthcare Payer Pedigree</w:t>
            </w:r>
          </w:p>
          <w:p>
            <w:pPr>
              <w:spacing w:after="100"/>
              <w:jc w:val="both"/>
            </w:pPr>
            <w:r>
              <w:rPr>
                <w:rFonts w:ascii="Calibri" w:cs="Calibri" w:eastAsia="Calibri" w:hAnsi="Calibri"/>
                <w:color w:val="21272A"/>
                <w:sz w:val="20"/>
                <w:szCs w:val="20"/>
              </w:rPr>
              <w:t xml:space="preserve">IBM brings deep healthcare payer expertise — including BCBS operating models, CMS regulatory compliance, HIPAA data governance, enrollment lifecycle management, and claims adjudication platform knowledge — directly into Horizon's delivery team from Day 1.</w:t>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0F62FE" w:sz="4"/>
                    <w:left w:val="single" w:color="0F62FE" w:sz="28"/>
                    <w:bottom w:val="single" w:color="0F62FE" w:sz="4"/>
                    <w:right w:val="single" w:color="0F62FE" w:sz="4"/>
                  </w:tcBorders>
                  <w:shd w:fill="D0E2FF" w:val="clear"/>
                  <w:tcMar>
                    <w:top w:type="dxa" w:w="140"/>
                    <w:left w:type="dxa" w:w="200"/>
                    <w:bottom w:type="dxa" w:w="140"/>
                    <w:right w:type="dxa" w:w="200"/>
                  </w:tcMar>
                </w:tcPr>
                <w:p>
                  <w:pPr>
                    <w:spacing w:after="80"/>
                  </w:pPr>
                  <w:r>
                    <w:rPr>
                      <w:rFonts w:ascii="Calibri" w:cs="Calibri" w:eastAsia="Calibri" w:hAnsi="Calibri"/>
                      <w:b/>
                      <w:bCs/>
                      <w:color w:val="001141"/>
                      <w:sz w:val="20"/>
                      <w:szCs w:val="20"/>
                    </w:rPr>
                    <w:t xml:space="preserve">Key References</w:t>
                  </w:r>
                </w:p>
                <w:p>
                  <w:pPr>
                    <w:spacing w:after="60"/>
                  </w:pPr>
                  <w:r>
                    <w:rPr>
                      <w:rFonts w:ascii="Calibri" w:cs="Calibri" w:eastAsia="Calibri" w:hAnsi="Calibri"/>
                      <w:color w:val="21272A"/>
                      <w:sz w:val="19"/>
                      <w:szCs w:val="19"/>
                    </w:rPr>
                    <w:t xml:space="preserve">• Partner of the Year 2023 — Enterprise AI delivery</w:t>
                  </w:r>
                </w:p>
                <w:p>
                  <w:pPr>
                    <w:spacing w:after="60"/>
                  </w:pPr>
                  <w:r>
                    <w:rPr>
                      <w:rFonts w:ascii="Calibri" w:cs="Calibri" w:eastAsia="Calibri" w:hAnsi="Calibri"/>
                      <w:color w:val="21272A"/>
                      <w:sz w:val="19"/>
                      <w:szCs w:val="19"/>
                    </w:rPr>
                    <w:t xml:space="preserve">• Leader in Enterprise Software Quality &amp; Testing</w:t>
                  </w:r>
                </w:p>
                <w:p>
                  <w:pPr>
                    <w:spacing w:after="60"/>
                  </w:pPr>
                  <w:r>
                    <w:rPr>
                      <w:rFonts w:ascii="Calibri" w:cs="Calibri" w:eastAsia="Calibri" w:hAnsi="Calibri"/>
                      <w:color w:val="21272A"/>
                      <w:sz w:val="19"/>
                      <w:szCs w:val="19"/>
                    </w:rPr>
                    <w:t xml:space="preserve">• Proven BCBS engagement track record</w:t>
                  </w:r>
                </w:p>
                <w:p>
                  <w:pPr>
                    <w:spacing w:after="60"/>
                  </w:pPr>
                  <w:r>
                    <w:rPr>
                      <w:rFonts w:ascii="Calibri" w:cs="Calibri" w:eastAsia="Calibri" w:hAnsi="Calibri"/>
                      <w:color w:val="21272A"/>
                      <w:sz w:val="19"/>
                      <w:szCs w:val="19"/>
                    </w:rPr>
                    <w:t xml:space="preserve">• CMS &amp; HIPAA compliance expertise</w:t>
                  </w:r>
                </w:p>
              </w:tc>
            </w:tr>
          </w:tbl>
          <w:p/>
        </w:tc>
      </w:tr>
    </w:tbl>
    <w:p>
      <w:r>
        <w:br w:type="page"/>
      </w:r>
    </w:p>
    <w:p>
      <w:pPr>
        <w:pBdr>
          <w:bottom w:val="single" w:color="0F62FE" w:sz="4" w:space="4"/>
        </w:pBdr>
        <w:spacing w:after="80" w:before="240"/>
      </w:pPr>
      <w:r>
        <w:rPr>
          <w:rFonts w:ascii="Calibri" w:cs="Calibri" w:eastAsia="Calibri" w:hAnsi="Calibri"/>
          <w:b/>
          <w:bCs/>
          <w:color w:val="001141"/>
          <w:sz w:val="44"/>
          <w:szCs w:val="44"/>
        </w:rPr>
        <w:t xml:space="preserve">Recommended Next Steps</w:t>
      </w:r>
    </w:p>
    <w:p>
      <w:pPr>
        <w:spacing w:after="200"/>
      </w:pPr>
      <w:r>
        <w:rPr>
          <w:rFonts w:ascii="Calibri" w:cs="Calibri" w:eastAsia="Calibri" w:hAnsi="Calibri"/>
          <w:i/>
          <w:iCs/>
          <w:color w:val="6F6F6F"/>
          <w:sz w:val="22"/>
          <w:szCs w:val="22"/>
        </w:rPr>
        <w:t xml:space="preserve">From Proposal to Partnership — IBM's Proposed Engagement Path</w:t>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gridCol w:w="100"/>
      </w:tblGrid>
      <w:tr>
        <w:tc>
          <w:tcPr>
            <w:tcW w:type="dxa" w:w="4320"/>
            <w:tcBorders>
              <w:top w:val="single" w:color="FFFFFF" w:sz="0"/>
              <w:left w:val="single" w:color="FFFFFF" w:sz="0"/>
              <w:bottom w:val="single" w:color="FFFFFF" w:sz="0"/>
              <w:right w:val="single" w:color="FFFFFF" w:sz="0"/>
            </w:tcBorders>
            <w:tcMar>
              <w:right w:type="dxa" w:w="220"/>
            </w:tcMar>
          </w:tcPr>
          <w:p>
            <w:pPr>
              <w:spacing w:after="100" w:before="80"/>
            </w:pPr>
            <w:r>
              <w:rPr>
                <w:rFonts w:ascii="Calibri" w:cs="Calibri" w:eastAsia="Calibri" w:hAnsi="Calibri"/>
                <w:b/>
                <w:bCs/>
                <w:color w:val="001141"/>
                <w:sz w:val="26"/>
                <w:szCs w:val="26"/>
              </w:rPr>
              <w:t xml:space="preserve">Immediate Actions (2–4 Weeks)</w:t>
            </w:r>
          </w:p>
          <w:p>
            <w:pPr>
              <w:pStyle w:val="ListParagraph"/>
              <w:numPr>
                <w:ilvl w:val="0"/>
                <w:numId w:val="1"/>
              </w:numPr>
              <w:spacing w:after="80"/>
              <w:ind w:left="360"/>
            </w:pPr>
            <w:r>
              <w:rPr>
                <w:rFonts w:ascii="Calibri" w:cs="Calibri" w:eastAsia="Calibri" w:hAnsi="Calibri"/>
                <w:color w:val="21272A"/>
                <w:sz w:val="20"/>
                <w:szCs w:val="20"/>
              </w:rPr>
              <w:t xml:space="preserve">Schedule Executive Alignment Session — IBM VP + Horizon CIO/COO to confirm transformation vision and programme scope.</w:t>
            </w:r>
          </w:p>
          <w:p>
            <w:pPr>
              <w:pStyle w:val="ListParagraph"/>
              <w:numPr>
                <w:ilvl w:val="0"/>
                <w:numId w:val="1"/>
              </w:numPr>
              <w:spacing w:after="80"/>
              <w:ind w:left="360"/>
            </w:pPr>
            <w:r>
              <w:rPr>
                <w:rFonts w:ascii="Calibri" w:cs="Calibri" w:eastAsia="Calibri" w:hAnsi="Calibri"/>
                <w:color w:val="21272A"/>
                <w:sz w:val="20"/>
                <w:szCs w:val="20"/>
              </w:rPr>
              <w:t xml:space="preserve">Conduct Command Center Walkthrough — Live demonstration of CareOps360 platform with Horizon's operational and technology leadership.</w:t>
            </w:r>
          </w:p>
          <w:p>
            <w:pPr>
              <w:pStyle w:val="ListParagraph"/>
              <w:numPr>
                <w:ilvl w:val="0"/>
                <w:numId w:val="1"/>
              </w:numPr>
              <w:spacing w:after="80"/>
              <w:ind w:left="360"/>
            </w:pPr>
            <w:r>
              <w:rPr>
                <w:rFonts w:ascii="Calibri" w:cs="Calibri" w:eastAsia="Calibri" w:hAnsi="Calibri"/>
                <w:color w:val="21272A"/>
                <w:sz w:val="20"/>
                <w:szCs w:val="20"/>
              </w:rPr>
              <w:t xml:space="preserve">Initiate Contract Finalisation — Confirm outcome-based SLA schedule and investment model.</w:t>
            </w:r>
          </w:p>
          <w:p>
            <w:pPr>
              <w:pStyle w:val="ListParagraph"/>
              <w:numPr>
                <w:ilvl w:val="0"/>
                <w:numId w:val="1"/>
              </w:numPr>
              <w:spacing w:after="80"/>
              <w:ind w:left="360"/>
            </w:pPr>
            <w:r>
              <w:rPr>
                <w:rFonts w:ascii="Calibri" w:cs="Calibri" w:eastAsia="Calibri" w:hAnsi="Calibri"/>
                <w:color w:val="21272A"/>
                <w:sz w:val="20"/>
                <w:szCs w:val="20"/>
              </w:rPr>
              <w:t xml:space="preserve">Begin Phase 0 Foundation Assessment — IBM AMS team on-site to conduct application portfolio and AIOps baseline assessment.</w:t>
            </w:r>
          </w:p>
          <w:p>
            <w:pPr>
              <w:spacing w:after="40"/>
            </w:pPr>
            <w:r>
              <w:rPr>
                <w:rFonts w:ascii="Calibri" w:cs="Calibri" w:eastAsia="Calibri" w:hAnsi="Calibri"/>
              </w:rPr>
              <w:t xml:space="preserve"/>
            </w:r>
          </w:p>
          <w:p>
            <w:pPr>
              <w:pBdr>
                <w:left w:val="single" w:color="0F62FE" w:sz="20" w:space="8"/>
              </w:pBdr>
              <w:spacing w:after="80" w:before="180"/>
              <w:ind w:left="120"/>
            </w:pPr>
            <w:r>
              <w:rPr>
                <w:rFonts w:ascii="Calibri" w:cs="Calibri" w:eastAsia="Calibri" w:hAnsi="Calibri"/>
                <w:b/>
                <w:bCs/>
                <w:color w:val="0F62FE"/>
                <w:sz w:val="22"/>
                <w:szCs w:val="22"/>
              </w:rPr>
              <w:t xml:space="preserve">Phase 0 Commitments (Weeks 1–8)</w:t>
            </w:r>
          </w:p>
          <w:p>
            <w:pPr>
              <w:pStyle w:val="ListParagraph"/>
              <w:numPr>
                <w:ilvl w:val="0"/>
                <w:numId w:val="1"/>
              </w:numPr>
              <w:spacing w:after="80"/>
              <w:ind w:left="360"/>
            </w:pPr>
            <w:r>
              <w:rPr>
                <w:rFonts w:ascii="Calibri" w:cs="Calibri" w:eastAsia="Calibri" w:hAnsi="Calibri"/>
                <w:b/>
                <w:bCs/>
                <w:color w:val="0F62FE"/>
                <w:sz w:val="20"/>
                <w:szCs w:val="20"/>
              </w:rPr>
              <w:t xml:space="preserve">Week 1–2: </w:t>
            </w:r>
            <w:r>
              <w:rPr>
                <w:rFonts w:ascii="Calibri" w:cs="Calibri" w:eastAsia="Calibri" w:hAnsi="Calibri"/>
                <w:color w:val="21272A"/>
                <w:sz w:val="20"/>
                <w:szCs w:val="20"/>
              </w:rPr>
              <w:t xml:space="preserve">IBM transition team mobilised; AIOps instrumentation begins across priority applications.</w:t>
            </w:r>
          </w:p>
          <w:p>
            <w:pPr>
              <w:pStyle w:val="ListParagraph"/>
              <w:numPr>
                <w:ilvl w:val="0"/>
                <w:numId w:val="1"/>
              </w:numPr>
              <w:spacing w:after="80"/>
              <w:ind w:left="360"/>
            </w:pPr>
            <w:r>
              <w:rPr>
                <w:rFonts w:ascii="Calibri" w:cs="Calibri" w:eastAsia="Calibri" w:hAnsi="Calibri"/>
                <w:b/>
                <w:bCs/>
                <w:color w:val="0F62FE"/>
                <w:sz w:val="20"/>
                <w:szCs w:val="20"/>
              </w:rPr>
              <w:t xml:space="preserve">Week 3–4: </w:t>
            </w:r>
            <w:r>
              <w:rPr>
                <w:rFonts w:ascii="Calibri" w:cs="Calibri" w:eastAsia="Calibri" w:hAnsi="Calibri"/>
                <w:color w:val="21272A"/>
                <w:sz w:val="20"/>
                <w:szCs w:val="20"/>
              </w:rPr>
              <w:t xml:space="preserve">ICOE architecture definition workshop; Quote to Cart KPI alignment roadmap delivered.</w:t>
            </w:r>
          </w:p>
          <w:p>
            <w:pPr>
              <w:pStyle w:val="ListParagraph"/>
              <w:numPr>
                <w:ilvl w:val="0"/>
                <w:numId w:val="1"/>
              </w:numPr>
              <w:spacing w:after="80"/>
              <w:ind w:left="360"/>
            </w:pPr>
            <w:r>
              <w:rPr>
                <w:rFonts w:ascii="Calibri" w:cs="Calibri" w:eastAsia="Calibri" w:hAnsi="Calibri"/>
                <w:b/>
                <w:bCs/>
                <w:color w:val="0F62FE"/>
                <w:sz w:val="20"/>
                <w:szCs w:val="20"/>
              </w:rPr>
              <w:t xml:space="preserve">Week 5–6: </w:t>
            </w:r>
            <w:r>
              <w:rPr>
                <w:rFonts w:ascii="Calibri" w:cs="Calibri" w:eastAsia="Calibri" w:hAnsi="Calibri"/>
                <w:color w:val="21272A"/>
                <w:sz w:val="20"/>
                <w:szCs w:val="20"/>
              </w:rPr>
              <w:t xml:space="preserve">Phase 1 Ignite plan presented to Steering Committee.</w:t>
            </w:r>
          </w:p>
          <w:p>
            <w:pPr>
              <w:pStyle w:val="ListParagraph"/>
              <w:numPr>
                <w:ilvl w:val="0"/>
                <w:numId w:val="1"/>
              </w:numPr>
              <w:spacing w:after="80"/>
              <w:ind w:left="360"/>
            </w:pPr>
            <w:r>
              <w:rPr>
                <w:rFonts w:ascii="Calibri" w:cs="Calibri" w:eastAsia="Calibri" w:hAnsi="Calibri"/>
                <w:b/>
                <w:bCs/>
                <w:color w:val="0F62FE"/>
                <w:sz w:val="20"/>
                <w:szCs w:val="20"/>
              </w:rPr>
              <w:t xml:space="preserve">Week 7–8: </w:t>
            </w:r>
            <w:r>
              <w:rPr>
                <w:rFonts w:ascii="Calibri" w:cs="Calibri" w:eastAsia="Calibri" w:hAnsi="Calibri"/>
                <w:color w:val="21272A"/>
                <w:sz w:val="20"/>
                <w:szCs w:val="20"/>
              </w:rPr>
              <w:t xml:space="preserve">Innovation Council inaugural session — first idea pipeline scoped.</w:t>
            </w:r>
          </w:p>
        </w:tc>
        <w:tc>
          <w:tcPr>
            <w:tcW w:type="dxa" w:w="4320"/>
            <w:tcBorders>
              <w:top w:val="single" w:color="FFFFFF" w:sz="0"/>
              <w:left w:val="single" w:color="FFFFFF" w:sz="0"/>
              <w:bottom w:val="single" w:color="FFFFFF" w:sz="0"/>
              <w:right w:val="single" w:color="FFFFFF" w:sz="0"/>
            </w:tcBorders>
            <w:tcMar>
              <w:left w:type="dxa" w:w="220"/>
            </w:tcMar>
          </w:tcPr>
          <w:p>
            <w:pPr>
              <w:spacing w:after="100" w:before="80"/>
            </w:pPr>
            <w:r>
              <w:rPr>
                <w:rFonts w:ascii="Calibri" w:cs="Calibri" w:eastAsia="Calibri" w:hAnsi="Calibri"/>
                <w:b/>
                <w:bCs/>
                <w:color w:val="001141"/>
                <w:sz w:val="26"/>
                <w:szCs w:val="26"/>
              </w:rPr>
              <w:t xml:space="preserve">What IBM Needs from Horizon</w:t>
            </w:r>
          </w:p>
          <w:p>
            <w:pPr>
              <w:pStyle w:val="ListParagraph"/>
              <w:numPr>
                <w:ilvl w:val="0"/>
                <w:numId w:val="1"/>
              </w:numPr>
              <w:spacing w:after="80"/>
              <w:ind w:left="360"/>
            </w:pPr>
            <w:r>
              <w:rPr>
                <w:rFonts w:ascii="Calibri" w:cs="Calibri" w:eastAsia="Calibri" w:hAnsi="Calibri"/>
                <w:color w:val="21272A"/>
                <w:sz w:val="20"/>
                <w:szCs w:val="20"/>
              </w:rPr>
              <w:t xml:space="preserve">Executive sponsorship confirmed with a named Horizon program owner.</w:t>
            </w:r>
          </w:p>
          <w:p>
            <w:pPr>
              <w:pStyle w:val="ListParagraph"/>
              <w:numPr>
                <w:ilvl w:val="0"/>
                <w:numId w:val="1"/>
              </w:numPr>
              <w:spacing w:after="80"/>
              <w:ind w:left="360"/>
            </w:pPr>
            <w:r>
              <w:rPr>
                <w:rFonts w:ascii="Calibri" w:cs="Calibri" w:eastAsia="Calibri" w:hAnsi="Calibri"/>
                <w:color w:val="21272A"/>
                <w:sz w:val="20"/>
                <w:szCs w:val="20"/>
              </w:rPr>
              <w:t xml:space="preserve">Access to application inventory, current SLA performance data, and AMS tooling estate.</w:t>
            </w:r>
          </w:p>
          <w:p>
            <w:pPr>
              <w:pStyle w:val="ListParagraph"/>
              <w:numPr>
                <w:ilvl w:val="0"/>
                <w:numId w:val="1"/>
              </w:numPr>
              <w:spacing w:after="80"/>
              <w:ind w:left="360"/>
            </w:pPr>
            <w:r>
              <w:rPr>
                <w:rFonts w:ascii="Calibri" w:cs="Calibri" w:eastAsia="Calibri" w:hAnsi="Calibri"/>
                <w:color w:val="21272A"/>
                <w:sz w:val="20"/>
                <w:szCs w:val="20"/>
              </w:rPr>
              <w:t xml:space="preserve">Introduction to Horizon's technology and operations leadership teams.</w:t>
            </w:r>
          </w:p>
          <w:p>
            <w:pPr>
              <w:pStyle w:val="ListParagraph"/>
              <w:numPr>
                <w:ilvl w:val="0"/>
                <w:numId w:val="1"/>
              </w:numPr>
              <w:spacing w:after="80"/>
              <w:ind w:left="360"/>
            </w:pPr>
            <w:r>
              <w:rPr>
                <w:rFonts w:ascii="Calibri" w:cs="Calibri" w:eastAsia="Calibri" w:hAnsi="Calibri"/>
                <w:color w:val="21272A"/>
                <w:sz w:val="20"/>
                <w:szCs w:val="20"/>
              </w:rPr>
              <w:t xml:space="preserve">Agreement on data governance and security protocols for CareOps360 production integration.</w:t>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FFFFFF" w:sz="0"/>
                    <w:left w:val="single" w:color="198038" w:sz="28"/>
                    <w:bottom w:val="single" w:color="FFFFFF" w:sz="0"/>
                    <w:right w:val="single" w:color="FFFFFF" w:sz="0"/>
                  </w:tcBorders>
                  <w:shd w:fill="DEFBE6" w:val="clear"/>
                  <w:tcMar>
                    <w:top w:type="dxa" w:w="160"/>
                    <w:left w:type="dxa" w:w="280"/>
                    <w:bottom w:type="dxa" w:w="160"/>
                    <w:right w:type="dxa" w:w="280"/>
                  </w:tcMar>
                </w:tcPr>
                <w:p>
                  <w:pPr>
                    <w:spacing w:after="80" w:before="80"/>
                    <w:jc w:val="both"/>
                  </w:pPr>
                  <w:r>
                    <w:rPr>
                      <w:rFonts w:ascii="Calibri" w:cs="Calibri" w:eastAsia="Calibri" w:hAnsi="Calibri"/>
                      <w:b/>
                      <w:bCs/>
                      <w:color w:val="001141"/>
                      <w:sz w:val="21"/>
                      <w:szCs w:val="21"/>
                    </w:rPr>
                    <w:t xml:space="preserve">IBM is ready to begin. </w:t>
                  </w:r>
                  <w:r>
                    <w:rPr>
                      <w:rFonts w:ascii="Calibri" w:cs="Calibri" w:eastAsia="Calibri" w:hAnsi="Calibri"/>
                      <w:color w:val="21272A"/>
                      <w:sz w:val="21"/>
                      <w:szCs w:val="21"/>
                    </w:rPr>
                    <w:t xml:space="preserve">With your confirmation, Phase 0 can mobilise within 5 business days.</w:t>
                  </w:r>
                </w:p>
              </w:tc>
            </w:tr>
          </w:tbl>
          <w:p>
            <w:pPr>
              <w:spacing w:after="40"/>
            </w:pPr>
            <w:r>
              <w:rPr>
                <w:rFonts w:ascii="Calibri" w:cs="Calibri" w:eastAsia="Calibri" w:hAnsi="Calibri"/>
              </w:rPr>
              <w:t xml:space="preserve"/>
            </w:r>
          </w:p>
          <w:p>
            <w:pPr>
              <w:pBdr>
                <w:left w:val="single" w:color="6F6F6F" w:sz="20" w:space="8"/>
              </w:pBdr>
              <w:spacing w:after="80" w:before="180"/>
              <w:ind w:left="120"/>
            </w:pPr>
            <w:r>
              <w:rPr>
                <w:rFonts w:ascii="Calibri" w:cs="Calibri" w:eastAsia="Calibri" w:hAnsi="Calibri"/>
                <w:b/>
                <w:bCs/>
                <w:color w:val="6F6F6F"/>
                <w:sz w:val="22"/>
                <w:szCs w:val="22"/>
              </w:rPr>
              <w:t xml:space="preserve">Appendix: Workforce Certification</w:t>
            </w:r>
          </w:p>
          <w:p>
            <w:pPr>
              <w:spacing w:after="80"/>
              <w:jc w:val="both"/>
            </w:pPr>
            <w:r>
              <w:rPr>
                <w:rFonts w:ascii="Calibri" w:cs="Calibri" w:eastAsia="Calibri" w:hAnsi="Calibri"/>
                <w:i/>
                <w:iCs/>
                <w:color w:val="6F6F6F"/>
                <w:sz w:val="18"/>
                <w:szCs w:val="18"/>
              </w:rPr>
              <w:t xml:space="preserve">As of April 2026, IBM's delivery team at Horizon carries 382 certified professionals across 4,599 certifications spanning AI/ML (307), Healthcare (342), IBM Products (338), and Cloud (250) domains. This credentialled workforce directly enables the AI-first delivery model described in this proposal.</w:t>
            </w:r>
          </w:p>
        </w:tc>
      </w:tr>
    </w:tbl>
    <w:p>
      <w:pPr>
        <w:spacing w:after="40"/>
      </w:pPr>
      <w:r>
        <w:rPr>
          <w:rFonts w:ascii="Calibri" w:cs="Calibri" w:eastAsia="Calibri" w:hAnsi="Calibri"/>
        </w:rPr>
        <w:t xml:space="preserve"/>
      </w:r>
    </w:p>
    <w:p>
      <w:pPr>
        <w:spacing w:after="40"/>
      </w:pPr>
      <w:r>
        <w:rPr>
          <w:rFonts w:ascii="Calibri" w:cs="Calibri" w:eastAsia="Calibri" w:hAnsi="Calibri"/>
        </w:rPr>
        <w:t xml:space="preserve"/>
      </w:r>
    </w:p>
    <w:tbl>
      <w:tblPr>
        <w:tblW w:type="dxa" w:w="9072"/>
        <w:tblBorders>
          <w:top w:val="single" w:color="FFFFFF" w:sz="0"/>
          <w:left w:val="single" w:color="FFFFFF" w:sz="0"/>
          <w:bottom w:val="single" w:color="FFFFFF" w:sz="0"/>
          <w:right w:val="single" w:color="FFFFFF" w:sz="0"/>
          <w:insideH w:val="single" w:color="auto" w:sz="4"/>
          <w:insideV w:val="single" w:color="auto" w:sz="4"/>
        </w:tblBorders>
        <w:tblLayout w:type="fixed"/>
      </w:tblPr>
      <w:tblGrid>
        <w:gridCol w:w="100"/>
      </w:tblGrid>
      <w:tr>
        <w:tc>
          <w:tcPr>
            <w:tcBorders>
              <w:top w:val="single" w:color="FFFFFF" w:sz="0"/>
              <w:left w:val="single" w:color="FFFFFF" w:sz="0"/>
              <w:bottom w:val="single" w:color="FFFFFF" w:sz="0"/>
              <w:right w:val="single" w:color="FFFFFF" w:sz="0"/>
            </w:tcBorders>
            <w:shd w:fill="001141" w:val="clear"/>
            <w:tcMar>
              <w:top w:type="dxa" w:w="200"/>
              <w:left w:type="dxa" w:w="280"/>
              <w:bottom w:type="dxa" w:w="200"/>
              <w:right w:type="dxa" w:w="280"/>
            </w:tcMar>
          </w:tcPr>
          <w:p>
            <w:pPr>
              <w:spacing w:after="80" w:before="80"/>
              <w:jc w:val="center"/>
            </w:pPr>
            <w:r>
              <w:rPr>
                <w:rFonts w:ascii="Calibri" w:cs="Calibri" w:eastAsia="Calibri" w:hAnsi="Calibri"/>
                <w:b/>
                <w:bCs/>
                <w:color w:val="FFFFFF"/>
                <w:sz w:val="28"/>
                <w:szCs w:val="28"/>
              </w:rPr>
              <w:t xml:space="preserve">A Strategic Partnership for Enterprise Transformation</w:t>
            </w:r>
          </w:p>
          <w:p>
            <w:pPr>
              <w:spacing w:after="80"/>
              <w:jc w:val="center"/>
            </w:pPr>
            <w:r>
              <w:rPr>
                <w:rFonts w:ascii="Calibri" w:cs="Calibri" w:eastAsia="Calibri" w:hAnsi="Calibri"/>
                <w:color w:val="D0E2FF"/>
                <w:sz w:val="21"/>
                <w:szCs w:val="21"/>
              </w:rPr>
              <w:t xml:space="preserve">IBM is committed to Horizon's success — not as a vendor, but as a transformation partner with shared stakes in every outcome.</w:t>
            </w:r>
          </w:p>
        </w:tc>
      </w:tr>
    </w:tbl>
    <w:p>
      <w:pPr>
        <w:spacing w:after="40"/>
      </w:pPr>
      <w:r>
        <w:rPr>
          <w:rFonts w:ascii="Calibri" w:cs="Calibri" w:eastAsia="Calibri" w:hAnsi="Calibri"/>
        </w:rPr>
        <w:t xml:space="preserve"/>
      </w:r>
    </w:p>
    <w:p>
      <w:pPr>
        <w:jc w:val="center"/>
      </w:pPr>
      <w:r>
        <w:rPr>
          <w:rFonts w:ascii="Calibri" w:cs="Calibri" w:eastAsia="Calibri" w:hAnsi="Calibri"/>
          <w:i/>
          <w:iCs/>
          <w:color w:val="6F6F6F"/>
          <w:sz w:val="16"/>
          <w:szCs w:val="16"/>
        </w:rPr>
        <w:t xml:space="preserve">© 2026 IBM Corporation  ·  IBM-HZN-AMS-RFP-2026-CAS  ·  Confidential — Executive Use Only  ·  All figures based on IBM programme data and industry benchmarks.</w:t>
      </w:r>
    </w:p>
    <w:sectPr>
      <w:headerReference w:type="default" r:id="rId7"/>
      <w:footerReference w:type="default" r:id="rId8"/>
      <w:pgSz w:w="11906" w:h="16838"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2FE" w:sz="4" w:space="4"/>
      </w:pBdr>
      <w:jc w:val="center"/>
    </w:pPr>
    <w:r>
      <w:rPr>
        <w:rFonts w:ascii="Calibri" w:cs="Calibri" w:eastAsia="Calibri" w:hAnsi="Calibri"/>
        <w:i/>
        <w:iCs/>
        <w:color w:val="6F6F6F"/>
        <w:sz w:val="16"/>
        <w:szCs w:val="16"/>
      </w:rPr>
      <w:t xml:space="preserve">© 2026 IBM Corporation. Confidential and Proprietary.  IBM-HZN-AMS-RFP-2026-CAS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2FE" w:sz="4" w:space="4"/>
      </w:pBdr>
      <w:jc w:val="right"/>
    </w:pPr>
    <w:r>
      <w:rPr>
        <w:rFonts w:ascii="Calibri" w:cs="Calibri" w:eastAsia="Calibri" w:hAnsi="Calibri"/>
        <w:b/>
        <w:bCs/>
        <w:color w:val="0F62FE"/>
        <w:sz w:val="16"/>
        <w:szCs w:val="16"/>
      </w:rPr>
      <w:t xml:space="preserve">IBM × HORIZON BCBS  </w:t>
    </w:r>
    <w:r>
      <w:rPr>
        <w:rFonts w:ascii="Calibri" w:cs="Calibri" w:eastAsia="Calibri" w:hAnsi="Calibri"/>
        <w:color w:val="6F6F6F"/>
        <w:sz w:val="16"/>
        <w:szCs w:val="16"/>
      </w:rPr>
      <w:t xml:space="preserve">|  AI-FIRST TRANSFORMATION PROPOSAL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9c31345181705002729bf22441ec7b9e4559d0.jpg"/><Relationship Id="rId10" Type="http://schemas.openxmlformats.org/officeDocument/2006/relationships/image" Target="media/a114e942981e1f478180b7001d4a6763f69360fb.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AI-First Transformation Proposal — Horizon BCBS</dc:title>
  <dc:creator>IBM Consulting — Healthcare &amp; Payer Delivery</dc:creator>
  <cp:lastModifiedBy>Un-named</cp:lastModifiedBy>
  <cp:revision>1</cp:revision>
  <dcterms:created xsi:type="dcterms:W3CDTF">2026-04-13T21:01:08.073Z</dcterms:created>
  <dcterms:modified xsi:type="dcterms:W3CDTF">2026-04-13T21:01:08.074Z</dcterms:modified>
</cp:coreProperties>
</file>

<file path=docProps/custom.xml><?xml version="1.0" encoding="utf-8"?>
<Properties xmlns="http://schemas.openxmlformats.org/officeDocument/2006/custom-properties" xmlns:vt="http://schemas.openxmlformats.org/officeDocument/2006/docPropsVTypes"/>
</file>