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01141" w:val="clear"/>
        <w:spacing w:after="280" w:befor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FFFFFF"/>
          <w:sz w:val="17"/>
          <w:szCs w:val="17"/>
        </w:rPr>
        <w:t xml:space="preserve">IBM CONSULTING   |   HEALTHCARE &amp; PAYER DELIVERY</w:t>
      </w:r>
    </w:p>
    <w:p>
      <w:pPr>
        <w:shd w:fill="0F62FE" w:val="clear"/>
        <w:spacing w:after="40" w:before="0"/>
      </w:pPr>
    </w:p>
    <w:p>
      <w:pPr>
        <w:spacing w:after="560" w:before="0"/>
      </w:pPr>
      <w:r>
        <w:t xml:space="preserve"/>
      </w:r>
    </w:p>
    <w:p>
      <w:pPr>
        <w:spacing w:after="120" w:before="0"/>
        <w:ind w:right="1584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CONFIDENTIAL  |  APRIL 2026</w:t>
      </w:r>
    </w:p>
    <w:p>
      <w:pPr>
        <w:spacing w:after="8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20"/>
          <w:szCs w:val="20"/>
        </w:rPr>
        <w:t xml:space="preserve">IBM × HORIZON BLUE CROSS BLUE SHIELD OF NEW JERSEY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64"/>
          <w:szCs w:val="64"/>
        </w:rPr>
        <w:t xml:space="preserve">Application Delivery,</w:t>
      </w:r>
    </w:p>
    <w:p>
      <w:pPr>
        <w:spacing w:after="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64"/>
          <w:szCs w:val="64"/>
        </w:rPr>
        <w:t xml:space="preserve">Quality Engineering &amp;</w:t>
      </w:r>
    </w:p>
    <w:p>
      <w:pPr>
        <w:spacing w:after="80" w:before="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64"/>
          <w:szCs w:val="64"/>
        </w:rPr>
        <w:t xml:space="preserve">Operations Transformation</w:t>
      </w:r>
    </w:p>
    <w:p>
      <w:pPr>
        <w:spacing w:after="360" w:before="0"/>
        <w:ind w:left="1584"/>
      </w:pP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24"/>
          <w:szCs w:val="24"/>
        </w:rPr>
        <w:t xml:space="preserve">AI-First  ·  Business-Led  ·  Zero-Touch  ·  Member-Centred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40–50%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Cost Takeout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vs. current run-rate</w:t>
            </w:r>
          </w:p>
        </w:tc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25–40%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Faster Time to Market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across development &amp; change</w:t>
            </w:r>
          </w:p>
        </w:tc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&gt;74%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Incidents Auto-Resolved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P3/P4 zero-touch target</w:t>
            </w:r>
          </w:p>
        </w:tc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80%+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Test Automation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from ~25% today</w:t>
            </w:r>
          </w:p>
        </w:tc>
      </w:tr>
    </w:tbl>
    <w:p>
      <w:pPr>
        <w:spacing w:after="240" w:before="0"/>
      </w:pPr>
      <w:r>
        <w:t xml:space="preserve"/>
      </w:r>
    </w:p>
    <w:p>
      <w:pPr>
        <w:spacing w:after="80" w:before="80"/>
        <w:ind w:left="1584" w:right="1584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1"/>
          <w:szCs w:val="21"/>
        </w:rPr>
        <w:t xml:space="preserve">“A member who can’t access their benefits, a provider waiting days for authorisation, a payer carrying the cost of an avoidable error — these are the problems IBM is here to solve. Technology is the means. Human outcomes are the only measure.”</w:t>
      </w:r>
    </w:p>
    <w:p>
      <w:pPr>
        <w:spacing w:after="280" w:before="0"/>
        <w:ind w:left="0" w:right="44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Consulting, Healthcare &amp; Payer Delivery</w:t>
      </w:r>
    </w:p>
    <w:p>
      <w:pPr>
        <w:pBdr>
          <w:top w:val="single" w:color="E0E0E0" w:sz="4"/>
        </w:pBdr>
        <w:spacing w:after="0" w:before="80"/>
        <w:ind w:left="1584" w:right="1584"/>
      </w:pPr>
    </w:p>
    <w:p>
      <w:pPr>
        <w:spacing w:after="100" w:before="100"/>
        <w:ind w:left="1584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Prepared for: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Horizon Healthcare Services   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17"/>
          <w:szCs w:val="17"/>
        </w:rPr>
        <w:t xml:space="preserve">Submitted by: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IBM Consulting  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17"/>
          <w:szCs w:val="17"/>
        </w:rPr>
        <w:t xml:space="preserve">April 2026</w:t>
      </w:r>
    </w:p>
    <w:p>
      <w:pPr>
        <w:shd w:fill="001141" w:val="clear"/>
        <w:spacing w:after="100" w:before="10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15"/>
          <w:szCs w:val="15"/>
        </w:rPr>
        <w:t xml:space="preserve">© 2026 IBM Corporation. All rights reserved.  Powered by CareOps360 · IBM AIOps · IBM Consulting Advantage</w:t>
      </w:r>
    </w:p>
    <w:p>
      <w:pPr>
        <w:spacing w:after="0" w:before="0"/>
      </w:pPr>
      <w:r>
        <w:br w:type="page"/>
      </w:r>
    </w:p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1.0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THE STRATEGIC OPPORTUNITY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Why this moment demands bold action</w:t>
      </w:r>
    </w:p>
    <w:p>
      <w:pPr>
        <w:spacing w:after="60" w:before="0"/>
      </w:pPr>
      <w:r>
        <w:t xml:space="preserve"/>
      </w:r>
    </w:p>
    <w:p>
      <w:pPr>
        <w:spacing w:after="40" w:before="40"/>
        <w:ind w:left="600" w:right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member delayed. A provider burdened. A payer absorbing the cost of inefficiency. These are not technology problems — they are human problems that technology must solve. That is the commitment IBM brings to Horizon.”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Healthcare &amp; Payer Delivery</w:t>
      </w:r>
    </w:p>
    <w:p>
      <w:pPr>
        <w:pBdr>
          <w:bottom w:val="single" w:color="D0E2FF" w:sz="4" w:space="0"/>
        </w:pBdr>
        <w:spacing w:after="100" w:before="0"/>
        <w:ind w:left="2592" w:right="2592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Where Horizon Stands Today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Horizon’s 500+ applications are managed across siloed delivery teams. Speed, quality, and member experience all pay the price.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Claims cycle times are constrained by manual processes and late-stage defects that reach production.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Provider authorisations are delayed because integrations are batch-based rather than real-time.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Member enrolment errors surface days after submission — long after trust is already damaged.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Test automation at ~25% means most quality assurance is slow, manual, and costly.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Operations teams firefight recurring incidents instead of building capability.</w:t>
            </w:r>
          </w:p>
          <w:p>
            <w:pPr>
              <w:spacing w:after="80" w:before="0"/>
            </w:pPr>
            <w:r>
              <w:t xml:space="preserve"/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808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Business Challenge</w:t>
                  </w:r>
                </w:p>
              </w:tc>
              <w:tc>
                <w:tcPr>
                  <w:tcW w:type="dxa" w:w="168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Impact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Slow claims processing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Members wait; trust erodes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Manual prior auth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Providers lose time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Low test automation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Defects reach production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Reactive operations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Unpredictable availability</w:t>
                  </w:r>
                </w:p>
              </w:tc>
            </w:tr>
            <w:tr>
              <w:tc>
                <w:tcPr>
                  <w:tcW w:type="dxa" w:w="280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Growing tech debt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Rising cost &amp; risk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The IBM Response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IBM proposes a unified partnership spanning Application Development, Quality Engineering, and Operations — with AI as the operating engine so Horizon’s teams focus on outcomes, not overhead.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Faster development cycles through AI-assisted engineering and risk-scored release pipelines.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Quality built into every stage — from commit to production — so defects are caught before members feel them.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Operations that self-heal: most incidents resolved automatically, before anyone notices.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Modernisation embedded in every sprint — no separate project, no disruption to BAU.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40" w:before="2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21"/>
                <w:szCs w:val="21"/>
              </w:rPr>
              <w:t xml:space="preserve">Executive visibility into cost, quality, speed, and member impact in real time.</w:t>
            </w:r>
          </w:p>
          <w:p>
            <w:pPr>
              <w:spacing w:after="80" w:before="0"/>
            </w:pPr>
            <w:r>
              <w:t xml:space="preserve"/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621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IBM Capability</w:t>
                  </w:r>
                </w:p>
              </w:tc>
              <w:tc>
                <w:tcPr>
                  <w:tcW w:type="dxa" w:w="1872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Business Outcome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AI-First Development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25–40% faster delivery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GenAI Quality Engine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80%+ test automation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Agentic Operations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&gt;74% auto-resolution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Zero-Touch Delivery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−55% MTTR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Outcome Governance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Real-time ROI visibility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2.0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THE IBM OPERATING MODEL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One team. Three disciplines. One owner of outcomes.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unifies Application Development, Quality Engineering, and Operations into product-aligned teams that own a business domain end-to-end. AI runs the engine beneath — routing, healing, testing, deploying — while teams focus on outcomes.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gridSpan w:val="5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2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7"/>
                <w:szCs w:val="17"/>
              </w:rPr>
              <w:t xml:space="preserve">BUSINESS OUTCOMES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F62FE"/>
                <w:sz w:val="18"/>
                <w:szCs w:val="18"/>
              </w:rPr>
              <w:t xml:space="preserve">Claims  ·  Enrollment  ·  Member Services  ·  Provider Operations  ·  Data Products</w:t>
            </w:r>
          </w:p>
        </w:tc>
      </w:tr>
      <w:tr>
        <w:tc>
          <w:tcPr>
            <w:tcW w:type="dxa" w:w="1872"/>
            <w:tcBorders>
              <w:top w:val="single" w:color="0F62FE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8"/>
                <w:szCs w:val="18"/>
              </w:rPr>
              <w:t xml:space="preserve">Application
Development</w:t>
            </w:r>
          </w:p>
        </w:tc>
        <w:tc>
          <w:tcPr>
            <w:tcW w:type="dxa" w:w="1872"/>
            <w:tcBorders>
              <w:top w:val="single" w:color="007D79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8"/>
                <w:szCs w:val="18"/>
              </w:rPr>
              <w:t xml:space="preserve">Quality
Engineering</w:t>
            </w:r>
          </w:p>
        </w:tc>
        <w:tc>
          <w:tcPr>
            <w:tcW w:type="dxa" w:w="1872"/>
            <w:tcBorders>
              <w:top w:val="single" w:color="0043CE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8"/>
                <w:szCs w:val="18"/>
              </w:rPr>
              <w:t xml:space="preserve">Application
Management</w:t>
            </w:r>
          </w:p>
        </w:tc>
        <w:tc>
          <w:tcPr>
            <w:tcW w:type="dxa" w:w="1872"/>
            <w:tcBorders>
              <w:top w:val="single" w:color="6929C4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6929C4"/>
                <w:sz w:val="18"/>
                <w:szCs w:val="18"/>
              </w:rPr>
              <w:t xml:space="preserve">Platform &amp;
Integration</w:t>
            </w:r>
          </w:p>
        </w:tc>
        <w:tc>
          <w:tcPr>
            <w:tcW w:type="dxa" w:w="1872"/>
            <w:tcBorders>
              <w:top w:val="single" w:color="005D5D" w:sz="10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20" w:before="12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8"/>
                <w:szCs w:val="18"/>
              </w:rPr>
              <w:t xml:space="preserve">Data &amp;
Analytics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IBM AI ENGINE  —  AIOps  ·  Agentic Intelligence  ·  GenAI Quality  ·  ICA  ·  CareOps360</w:t>
            </w:r>
          </w:p>
        </w:tc>
      </w:tr>
      <w:tr>
        <w:tc>
          <w:tcPr>
            <w:gridSpan w:val="5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PLATFORM FOUNDATION  —  Hybrid Cloud  ·  Integration Hub  ·  Mainframe  ·  Data Platforms  ·  Security &amp; Compliance</w:t>
            </w:r>
          </w:p>
        </w:tc>
      </w:tr>
    </w:tbl>
    <w:p>
      <w:pPr>
        <w:spacing w:after="12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Three Integrated Disciplines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Application Development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AI-assisted engineering, automated pipelines, and risk-scored releases. Developers build faster because the machine handles the routine.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Quality Engineering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Testing is a continuous signal at every commit, sprint, and deployment. GenAI generates tests. AI predicts defects. Coverage reaches 80%+ within 12 months.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Application Management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Operations shift from reactive firefighting to predictive self-healing. Most incidents are resolved automatically — providers and members never notice.</w:t>
            </w:r>
          </w:p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Today vs. With IBM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224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With IBM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Siloed delivery towers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Unified product pods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Reactive firefighting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Predictive self-healing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Late-stage testing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Shift-left quality gates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Manual deployments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AI risk-scored pipelines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Activity-metric reports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Business outcome dashboards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Innovation as a project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Innovation in every sprint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3.0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AI-FIRST APPLICATION DEVELOPMENT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Build faster. Ship safer. Modernise continuously.</w:t>
      </w:r>
    </w:p>
    <w:p>
      <w:pPr>
        <w:spacing w:after="60" w:before="0"/>
      </w:pPr>
      <w:r>
        <w:t xml:space="preserve"/>
      </w:r>
    </w:p>
    <w:p>
      <w:pPr>
        <w:spacing w:after="40" w:before="40"/>
        <w:ind w:left="600" w:right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“When a member’s enrollment takes two weeks because a downstream application is slow to update, that is not an IT problem — it is a trust problem. IBM engineers the systems so that wait shrinks to hours, not as an ambition, but as a commitment.”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Member Experience Engineering</w:t>
      </w:r>
    </w:p>
    <w:p>
      <w:pPr>
        <w:pBdr>
          <w:bottom w:val="single" w:color="D0E2FF" w:sz="4" w:space="0"/>
        </w:pBdr>
        <w:spacing w:after="100" w:before="0"/>
        <w:ind w:left="2592" w:right="2592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How IBM Builds Faster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AI-Assisted Development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AI coding assistants generate code, flag risk patterns, and suggest optimisations in real time — cutting delivery effort by 25–35%.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Automated Release Gates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Every change passes AI-scored gates: security, performance, coverage, and risk. Low-risk changes deploy without human approval.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Modernisation in Every Sprint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No separate modernisation programme. Every sprint includes a modernisation action — an API-wrap, a library upgrade, a refactor.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Domain-Aligned Pods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Development squads align to Horizon’s business domains — Claims, Enrollment, Member, Provider. Context stays with the team.</w:t>
            </w:r>
          </w:p>
          <w:p>
            <w:pPr>
              <w:spacing w:after="60" w:before="0"/>
            </w:pPr>
            <w:r>
              <w:t xml:space="preserve"/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621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Delivery Metric</w:t>
                  </w:r>
                </w:p>
              </w:tc>
              <w:tc>
                <w:tcPr>
                  <w:tcW w:type="dxa" w:w="1872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12-Month Target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Time-to-market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25–40% faster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Deployment frequency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2× current pace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Change failure rate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−60%</w:t>
                  </w:r>
                </w:p>
              </w:tc>
            </w:tr>
            <w:tr>
              <w:tc>
                <w:tcPr>
                  <w:tcW w:type="dxa" w:w="2621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Rollback / recovery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&lt;15 minutes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Speed Gains by Capability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8"/>
                <w:szCs w:val="18"/>
              </w:rPr>
              <w:t xml:space="preserve">Efficiency gain vs. traditional delivery: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AI-assisted coding</w:t>
                  </w:r>
                </w:p>
              </w:tc>
              <w:tc>
                <w:tcPr>
                  <w:tcW w:type="dxa" w:w="33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F62F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84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+30% capacity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Automated QE generation</w:t>
                  </w:r>
                </w:p>
              </w:tc>
              <w:tc>
                <w:tcPr>
                  <w:tcW w:type="dxa" w:w="315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7D79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05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7D79"/>
                      <w:sz w:val="18"/>
                      <w:szCs w:val="18"/>
                    </w:rPr>
                    <w:t xml:space="preserve">+25% QE speed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Risk-scored deployments</w:t>
                  </w:r>
                </w:p>
              </w:tc>
              <w:tc>
                <w:tcPr>
                  <w:tcW w:type="dxa" w:w="294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43C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2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43CE"/>
                      <w:sz w:val="18"/>
                      <w:szCs w:val="18"/>
                    </w:rPr>
                    <w:t xml:space="preserve">−60% failures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Modernisation-in-stride</w:t>
                  </w:r>
                </w:p>
              </w:tc>
              <w:tc>
                <w:tcPr>
                  <w:tcW w:type="dxa" w:w="25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6929C4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6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6929C4"/>
                      <w:sz w:val="18"/>
                      <w:szCs w:val="18"/>
                    </w:rPr>
                    <w:t xml:space="preserve">Debt −30%/yr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Domain pod alignment</w:t>
                  </w:r>
                </w:p>
              </w:tc>
              <w:tc>
                <w:tcPr>
                  <w:tcW w:type="dxa" w:w="273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5D5D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7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5D5D"/>
                      <w:sz w:val="18"/>
                      <w:szCs w:val="18"/>
                    </w:rPr>
                    <w:t xml:space="preserve">−40% handoffs</w:t>
                  </w:r>
                </w:p>
              </w:tc>
            </w:tr>
          </w:tbl>
          <w:p>
            <w:pPr>
              <w:spacing w:after="100" w:before="0"/>
            </w:pPr>
            <w: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Modernisation Approach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68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Action</w:t>
                  </w:r>
                </w:p>
              </w:tc>
              <w:tc>
                <w:tcPr>
                  <w:tcW w:type="dxa" w:w="168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Approach</w:t>
                  </w:r>
                </w:p>
              </w:tc>
              <w:tc>
                <w:tcPr>
                  <w:tcW w:type="dxa" w:w="1123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Wave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API-wrap legacy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Expose as service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Rehost workloads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Lift &amp; validate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Refactor priority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Selective rebuild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3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Retire &amp; replace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SaaS substitution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Ongoing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4.0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QUALITY ENGINEERING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Quality is a continuous signal — not a final checkpoint.</w:t>
      </w:r>
    </w:p>
    <w:p>
      <w:pPr>
        <w:spacing w:after="60" w:before="0"/>
      </w:pPr>
      <w:r>
        <w:t xml:space="preserve"/>
      </w:r>
    </w:p>
    <w:p>
      <w:pPr>
        <w:spacing w:after="40" w:before="40"/>
        <w:ind w:left="600" w:right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“Every defect that reaches production is a promise broken — a provider whose claim was processed incorrectly, a member whose benefits were delayed, a payer whose SLA was missed. IBM’s quality engine is designed so that defect never leaves the building.”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Quality Engineering — Shift-Left Framework</w:t>
      </w:r>
    </w:p>
    <w:p>
      <w:pPr>
        <w:pBdr>
          <w:bottom w:val="single" w:color="D0E2FF" w:sz="4" w:space="0"/>
        </w:pBdr>
        <w:spacing w:after="100" w:before="0"/>
        <w:ind w:left="2592" w:right="2592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The Four Quality Layers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Commit-Level AI Review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The instant a developer pushes code, AI reviews it — flagging security risk, test gaps, and quality anti-patterns before any human sees the PR.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GenAI Test Generation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AI synthesises regression, integration, and edge-case tests at commit speed. Coverage grows automatically — no manual test authoring required.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Defect Prediction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AI models trained on Horizon’s own incident history identify high-risk code paths before they reach UAT.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Production Feedback Loop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Every production defect teaches the quality engine. The test suite tightens with every release cycle.</w:t>
            </w:r>
          </w:p>
          <w:p>
            <w:pPr>
              <w:spacing w:after="80" w:before="0"/>
            </w:pPr>
            <w:r>
              <w:t xml:space="preserve"/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QE Metric</w:t>
                  </w:r>
                </w:p>
              </w:tc>
              <w:tc>
                <w:tcPr>
                  <w:tcW w:type="dxa" w:w="93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1310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12-Month Target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Test automation coverage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~25%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80%+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Defect escape to production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High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−65%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Regression cycle time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Multi-day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−70%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Mean time to detect (MTTD)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&gt;2 hours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&lt;15 min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Test Automation Coverage Journey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8"/>
                <w:szCs w:val="18"/>
              </w:rPr>
              <w:t xml:space="preserve">Month-by-month progression: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0  — Baseline</w:t>
                  </w:r>
                </w:p>
              </w:tc>
              <w:tc>
                <w:tcPr>
                  <w:tcW w:type="dxa" w:w="11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8D8D8D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33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8D8D8D"/>
                      <w:sz w:val="18"/>
                      <w:szCs w:val="18"/>
                    </w:rPr>
                    <w:t xml:space="preserve">~25%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3  — Ignite</w:t>
                  </w:r>
                </w:p>
              </w:tc>
              <w:tc>
                <w:tcPr>
                  <w:tcW w:type="dxa" w:w="19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72C3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24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72C3"/>
                      <w:sz w:val="18"/>
                      <w:szCs w:val="18"/>
                    </w:rPr>
                    <w:t xml:space="preserve">45%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6  — Scale</w:t>
                  </w:r>
                </w:p>
              </w:tc>
              <w:tc>
                <w:tcPr>
                  <w:tcW w:type="dxa" w:w="2728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43C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67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43CE"/>
                      <w:sz w:val="18"/>
                      <w:szCs w:val="18"/>
                    </w:rPr>
                    <w:t xml:space="preserve">62%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9  — Optimise</w:t>
                  </w:r>
                </w:p>
              </w:tc>
              <w:tc>
                <w:tcPr>
                  <w:tcW w:type="dxa" w:w="33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F62F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1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75%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12 — Target</w:t>
                  </w:r>
                </w:p>
              </w:tc>
              <w:tc>
                <w:tcPr>
                  <w:tcW w:type="dxa" w:w="3608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114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79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8"/>
                      <w:szCs w:val="18"/>
                    </w:rPr>
                    <w:t xml:space="preserve">82%+</w:t>
                  </w:r>
                </w:p>
              </w:tc>
            </w:tr>
          </w:tbl>
          <w:p>
            <w:pPr>
              <w:spacing w:after="100" w:before="0"/>
            </w:pPr>
            <w: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Release Gate Checklist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872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Gate</w:t>
                  </w:r>
                </w:p>
              </w:tc>
              <w:tc>
                <w:tcPr>
                  <w:tcW w:type="dxa" w:w="1872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Criteria</w:t>
                  </w:r>
                </w:p>
              </w:tc>
              <w:tc>
                <w:tcPr>
                  <w:tcW w:type="dxa" w:w="749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Human Touch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Commit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AI review + coverage delta</w:t>
                  </w:r>
                </w:p>
              </w:tc>
              <w:tc>
                <w:tcPr>
                  <w:tcW w:type="dxa" w:w="7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98038"/>
                      <w:sz w:val="19"/>
                      <w:szCs w:val="19"/>
                    </w:rPr>
                    <w:t xml:space="preserve">None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Build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Unit pass rate &gt;98%</w:t>
                  </w:r>
                </w:p>
              </w:tc>
              <w:tc>
                <w:tcPr>
                  <w:tcW w:type="dxa" w:w="7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98038"/>
                      <w:sz w:val="19"/>
                      <w:szCs w:val="19"/>
                    </w:rPr>
                    <w:t xml:space="preserve">None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Staging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Integration + perf benchmarks</w:t>
                  </w:r>
                </w:p>
              </w:tc>
              <w:tc>
                <w:tcPr>
                  <w:tcW w:type="dxa" w:w="7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98038"/>
                      <w:sz w:val="19"/>
                      <w:szCs w:val="19"/>
                    </w:rPr>
                    <w:t xml:space="preserve">None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Release</w:t>
                  </w:r>
                </w:p>
              </w:tc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AI risk score + readiness signal</w:t>
                  </w:r>
                </w:p>
              </w:tc>
              <w:tc>
                <w:tcPr>
                  <w:tcW w:type="dxa" w:w="74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Tier 1 only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5.0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AIOPS &amp; AGENTIC OPERATIONS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From reactive firefighting to self-healing intelligence</w:t>
      </w:r>
    </w:p>
    <w:p>
      <w:pPr>
        <w:spacing w:after="60" w:before="0"/>
      </w:pPr>
      <w:r>
        <w:t xml:space="preserve"/>
      </w:r>
    </w:p>
    <w:p>
      <w:pPr>
        <w:spacing w:after="40" w:before="40"/>
        <w:ind w:left="600" w:right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provider should never have to call a helpdesk because a claims system is slow. A member should never see an error because two systems failed to sync overnight. IBM’s AI operations model is designed so those moments simply stop happening.”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AIOps — Zero-Touch Operations Framework</w:t>
      </w:r>
    </w:p>
    <w:p>
      <w:pPr>
        <w:pBdr>
          <w:bottom w:val="single" w:color="D0E2FF" w:sz="4" w:space="0"/>
        </w:pBdr>
        <w:spacing w:after="100" w:before="0"/>
        <w:ind w:left="2592" w:right="2592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The Zero-Touch Operations Pipeline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5"/>
                <w:szCs w:val="15"/>
              </w:rPr>
              <w:t xml:space="preserve">STEP 1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Detect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Correlate signals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Anomaly detection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&gt;60% noise cut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72C3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2C3"/>
                <w:sz w:val="15"/>
                <w:szCs w:val="15"/>
              </w:rPr>
              <w:t xml:space="preserve">STEP 2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Triage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AI routing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Impact scoring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Auto-prioritise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43CE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43CE"/>
                <w:sz w:val="15"/>
                <w:szCs w:val="15"/>
              </w:rPr>
              <w:t xml:space="preserve">STEP 3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Diagnose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Root cause AI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Runbook guidance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Pattern matching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7D79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7D79"/>
                <w:sz w:val="15"/>
                <w:szCs w:val="15"/>
              </w:rPr>
              <w:t xml:space="preserve">STEP 4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Resolve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Self-heal P3/P4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Auto-remediate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Zero-touch</w:t>
            </w:r>
          </w:p>
          <w:p>
            <w:pPr>
              <w:spacing w:after="60" w:before="0"/>
            </w:pPr>
            <w:r>
              <w:t xml:space="preserve"/>
            </w:r>
          </w:p>
        </w:tc>
        <w:tc>
          <w:tcPr>
            <w:tcW w:type="dxa" w:w="1872"/>
            <w:tcBorders>
              <w:top w:val="single" w:color="005D5D" w:sz="1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1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5D5D"/>
                <w:sz w:val="15"/>
                <w:szCs w:val="15"/>
              </w:rPr>
              <w:t xml:space="preserve">STEP 5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Learn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Post-incident AI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Knowledge capture</w:t>
            </w:r>
          </w:p>
          <w:p>
            <w:pPr>
              <w:spacing w:after="2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7"/>
                <w:szCs w:val="17"/>
              </w:rPr>
              <w:t xml:space="preserve">Prevent recurrence</w:t>
            </w:r>
          </w:p>
          <w:p>
            <w:pPr>
              <w:spacing w:after="60" w:before="0"/>
            </w:pPr>
            <w:r>
              <w:t xml:space="preserve"/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AI Agents &amp; Annual Value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872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Agent</w:t>
                  </w:r>
                </w:p>
              </w:tc>
              <w:tc>
                <w:tcPr>
                  <w:tcW w:type="dxa" w:w="168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What It Does</w:t>
                  </w:r>
                </w:p>
              </w:tc>
              <w:tc>
                <w:tcPr>
                  <w:tcW w:type="dxa" w:w="93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Value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Detection &amp; Correlation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Cuts alert noise by &gt;60%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$2.5–3.5M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Triage AI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Routes issues instantly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$1.3–1.5M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Root Cause Agent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Diagnoses in seconds, not hours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Auto-Remediation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Resolves P3/P4 without human touch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$1.5–2.0M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Knowledge Agent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Learns from every incident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$1.0–1.3M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Deployment AI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Risk-scores every release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$0.8–1.2M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Before vs. After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2059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Metric</w:t>
                  </w:r>
                </w:p>
              </w:tc>
              <w:tc>
                <w:tcPr>
                  <w:tcW w:type="dxa" w:w="1123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Today</w:t>
                  </w:r>
                </w:p>
              </w:tc>
              <w:tc>
                <w:tcPr>
                  <w:tcW w:type="dxa" w:w="1310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With IBM AIOps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Mean Time to Resolve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&gt;4 hours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&lt;1.8 hours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P3/P4 Auto-Resolution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&lt;10%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&gt;74%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Alert Noise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Unfiltered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&gt;60% cut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System Availability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~99.7%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99.9%+</w:t>
                  </w:r>
                </w:p>
              </w:tc>
            </w:tr>
            <w:tr>
              <w:tc>
                <w:tcPr>
                  <w:tcW w:type="dxa" w:w="2059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Recurring Incidents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Unmanaged</w:t>
                  </w:r>
                </w:p>
              </w:tc>
              <w:tc>
                <w:tcPr>
                  <w:tcW w:type="dxa" w:w="1310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−50% demand</w:t>
                  </w:r>
                </w:p>
              </w:tc>
            </w:tr>
          </w:tbl>
          <w:p>
            <w:pPr>
              <w:spacing w:after="80" w:before="0"/>
            </w:pPr>
            <w:r>
              <w:t xml:space="preserve"/>
            </w:r>
          </w:p>
          <w:p>
            <w:pPr>
              <w:shd w:fill="EBF2FF" w:val="clear"/>
              <w:spacing w:after="100" w:before="100"/>
              <w:ind w:left="200" w:right="2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Target: most P3/P4 incidents resolved before a human is notified. Zero-touch operations.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6.0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BUSINESS OUTCOMES &amp; VALUE REALIZATION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Every initiative connects to a measurable result</w:t>
      </w:r>
    </w:p>
    <w:p>
      <w:pPr>
        <w:spacing w:after="60" w:before="0"/>
      </w:pPr>
      <w:r>
        <w:t xml:space="preserve"/>
      </w:r>
    </w:p>
    <w:p>
      <w:pPr>
        <w:spacing w:after="40" w:before="40"/>
        <w:ind w:left="600" w:right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“A payer that processes a claim faster spends less on administration and earns more member trust. A payer whose systems self-heal spends less on incidents and more on care. IBM is building that future for Horizon — one sprint at a time.”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Outcome Governance Framework</w:t>
      </w:r>
    </w:p>
    <w:p>
      <w:pPr>
        <w:pBdr>
          <w:bottom w:val="single" w:color="D0E2FF" w:sz="4" w:space="0"/>
        </w:pBdr>
        <w:spacing w:after="100" w:before="0"/>
        <w:ind w:left="2592" w:right="2592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Business Domain Outcomes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68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Domain</w:t>
                  </w:r>
                </w:p>
              </w:tc>
              <w:tc>
                <w:tcPr>
                  <w:tcW w:type="dxa" w:w="168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Business KPI</w:t>
                  </w:r>
                </w:p>
              </w:tc>
              <w:tc>
                <w:tcPr>
                  <w:tcW w:type="dxa" w:w="1123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Target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Claims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Adjudication cycle time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−30%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Enrollment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Time-to-activation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−40%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Member Services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First-call resolution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+25%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Provider Ops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Auth processing time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−35%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Data &amp; Reporting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Report delivery latency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−50%</w:t>
                  </w:r>
                </w:p>
              </w:tc>
            </w:tr>
            <w:tr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IT Operations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Auto-resolution rate</w:t>
                  </w:r>
                </w:p>
              </w:tc>
              <w:tc>
                <w:tcPr>
                  <w:tcW w:type="dxa" w:w="1123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&gt;74%</w:t>
                  </w:r>
                </w:p>
              </w:tc>
            </w:tr>
          </w:tbl>
          <w:p>
            <w:pPr>
              <w:spacing w:after="100" w:before="0"/>
            </w:pPr>
            <w: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Cumulative Cost Takeout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8"/>
                <w:szCs w:val="18"/>
              </w:rPr>
              <w:t xml:space="preserve">Directional — baselines locked in Phase 0: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3  — Ignite</w:t>
                  </w:r>
                </w:p>
              </w:tc>
              <w:tc>
                <w:tcPr>
                  <w:tcW w:type="dxa" w:w="516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72C3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3784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72C3"/>
                      <w:sz w:val="18"/>
                      <w:szCs w:val="18"/>
                    </w:rPr>
                    <w:t xml:space="preserve">$1–2M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6  — Scale</w:t>
                  </w:r>
                </w:p>
              </w:tc>
              <w:tc>
                <w:tcPr>
                  <w:tcW w:type="dxa" w:w="129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43C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301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43CE"/>
                      <w:sz w:val="18"/>
                      <w:szCs w:val="18"/>
                    </w:rPr>
                    <w:t xml:space="preserve">$3–5M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12 — Optimize</w:t>
                  </w:r>
                </w:p>
              </w:tc>
              <w:tc>
                <w:tcPr>
                  <w:tcW w:type="dxa" w:w="25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F62F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$6–10M</w:t>
                  </w:r>
                </w:p>
              </w:tc>
            </w:tr>
            <w:tr>
              <w:tc>
                <w:tcPr>
                  <w:tcW w:type="dxa" w:w="22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Month 24 — Transform</w:t>
                  </w:r>
                </w:p>
              </w:tc>
              <w:tc>
                <w:tcPr>
                  <w:tcW w:type="dxa" w:w="43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114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8"/>
                      <w:szCs w:val="18"/>
                    </w:rPr>
                    <w:t xml:space="preserve">$12–18M+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Annual Value by Initiative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8"/>
                <w:szCs w:val="18"/>
              </w:rPr>
              <w:t xml:space="preserve">Directional annual contribution: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AIOps &amp; Self-Healing</w:t>
                  </w:r>
                </w:p>
              </w:tc>
              <w:tc>
                <w:tcPr>
                  <w:tcW w:type="dxa" w:w="323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F62F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57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$3.5–6.5M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GenAI Quality Engine</w:t>
                  </w:r>
                </w:p>
              </w:tc>
              <w:tc>
                <w:tcPr>
                  <w:tcW w:type="dxa" w:w="2736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7D79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064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7D79"/>
                      <w:sz w:val="18"/>
                      <w:szCs w:val="18"/>
                    </w:rPr>
                    <w:t xml:space="preserve">$2.5–4.0M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Zero-Touch Delivery</w:t>
                  </w:r>
                </w:p>
              </w:tc>
              <w:tc>
                <w:tcPr>
                  <w:tcW w:type="dxa" w:w="22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43C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5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43CE"/>
                      <w:sz w:val="18"/>
                      <w:szCs w:val="18"/>
                    </w:rPr>
                    <w:t xml:space="preserve">$2.0–3.0M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Platform Modernisation</w:t>
                  </w:r>
                </w:p>
              </w:tc>
              <w:tc>
                <w:tcPr>
                  <w:tcW w:type="dxa" w:w="1824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6929C4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976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6929C4"/>
                      <w:sz w:val="18"/>
                      <w:szCs w:val="18"/>
                    </w:rPr>
                    <w:t xml:space="preserve">$1.5–2.5M</w:t>
                  </w:r>
                </w:p>
              </w:tc>
            </w:tr>
            <w:tr>
              <w:tc>
                <w:tcPr>
                  <w:tcW w:type="dxa" w:w="24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Demand &amp; Ticket Reduction</w:t>
                  </w:r>
                </w:p>
              </w:tc>
              <w:tc>
                <w:tcPr>
                  <w:tcW w:type="dxa" w:w="209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5D5D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1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5D5D"/>
                      <w:sz w:val="18"/>
                      <w:szCs w:val="18"/>
                    </w:rPr>
                    <w:t xml:space="preserve">$1.0–2.0M</w:t>
                  </w:r>
                </w:p>
              </w:tc>
            </w:tr>
          </w:tbl>
          <w:p>
            <w:pPr>
              <w:spacing w:after="100" w:before="0"/>
            </w:pPr>
            <w: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Governance Cadence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Operational (Weekly)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SLA adherence, MTTR, pipeline velocity — live in CareOps360.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Executive (Monthly)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Cost takeout actuals, coverage progress, business KPI movement.</w:t>
            </w:r>
          </w:p>
          <w:p>
            <w:pPr>
              <w:spacing w:after="2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Board (Quarterly)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Total value realised, innovation delivered, year-ahead priorities.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7.0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PLATFORM &amp; DATA MODERNISATION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Eliminating the debt that slows Horizon down</w:t>
      </w:r>
    </w:p>
    <w:p>
      <w:pPr>
        <w:spacing w:after="8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252"/>
          <w:sz w:val="21"/>
          <w:szCs w:val="21"/>
        </w:rPr>
        <w:t xml:space="preserve">IBM embeds modernisation into steady-state delivery — no separate programme, no disruption to BAU. Every sprint may include a modernisation action. Technical debt is tracked by business impact and reduced continuously.</w:t>
      </w:r>
    </w:p>
    <w:p>
      <w:pPr>
        <w:spacing w:after="6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Modernisation Waves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872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Workstream</w:t>
                  </w:r>
                </w:p>
              </w:tc>
              <w:tc>
                <w:tcPr>
                  <w:tcW w:type="dxa" w:w="1685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Approach</w:t>
                  </w:r>
                </w:p>
              </w:tc>
              <w:tc>
                <w:tcPr>
                  <w:tcW w:type="dxa" w:w="93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Wave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Integration Hub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API-first + event streaming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Mainframe APIs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API-wrap strategy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DataOps Pipelines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AI-driven quality engine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1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App Portfolio (~500)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Assess → rationalise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Mainframe Rehost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Lift-and-validate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Cloud Optimisation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Cost + performance tuning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2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Mainframe Refactor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Selective modernise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Wave 3</w:t>
                  </w:r>
                </w:p>
              </w:tc>
            </w:tr>
            <w:tr>
              <w:tc>
                <w:tcPr>
                  <w:tcW w:type="dxa" w:w="1872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Security &amp; Compliance</w:t>
                  </w:r>
                </w:p>
              </w:tc>
              <w:tc>
                <w:tcPr>
                  <w:tcW w:type="dxa" w:w="1685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9"/>
                      <w:szCs w:val="19"/>
                    </w:rPr>
                    <w:t xml:space="preserve">n-1 standard + auto-patch</w:t>
                  </w:r>
                </w:p>
              </w:tc>
              <w:tc>
                <w:tcPr>
                  <w:tcW w:type="dxa" w:w="93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Ongoing</w:t>
                  </w:r>
                </w:p>
              </w:tc>
            </w:tr>
          </w:tbl>
          <w:p/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Technical Debt Reduction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8"/>
                <w:szCs w:val="18"/>
              </w:rPr>
              <w:t xml:space="preserve">Debt index (100 = today) — quarterly trajectory: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  <w:gridCol w:w="100"/>
            </w:tblGrid>
            <w:tr>
              <w:tc>
                <w:tcPr>
                  <w:tcW w:type="dxa" w:w="19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Q1  Baseline</w:t>
                  </w:r>
                </w:p>
              </w:tc>
              <w:tc>
                <w:tcPr>
                  <w:tcW w:type="dxa" w:w="46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DA1E28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DA1E28"/>
                      <w:sz w:val="18"/>
                      <w:szCs w:val="18"/>
                    </w:rPr>
                    <w:t xml:space="preserve">100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Q2  Wave 1</w:t>
                  </w:r>
                </w:p>
              </w:tc>
              <w:tc>
                <w:tcPr>
                  <w:tcW w:type="dxa" w:w="3588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57373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01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E57373"/>
                      <w:sz w:val="18"/>
                      <w:szCs w:val="18"/>
                    </w:rPr>
                    <w:t xml:space="preserve">78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Q3  Scale</w:t>
                  </w:r>
                </w:p>
              </w:tc>
              <w:tc>
                <w:tcPr>
                  <w:tcW w:type="dxa" w:w="285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72C3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748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72C3"/>
                      <w:sz w:val="18"/>
                      <w:szCs w:val="18"/>
                    </w:rPr>
                    <w:t xml:space="preserve">62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Q4  Optimise</w:t>
                  </w:r>
                </w:p>
              </w:tc>
              <w:tc>
                <w:tcPr>
                  <w:tcW w:type="dxa" w:w="2208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F62FE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239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8"/>
                      <w:szCs w:val="18"/>
                    </w:rPr>
                    <w:t xml:space="preserve">48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525252"/>
                      <w:sz w:val="18"/>
                      <w:szCs w:val="18"/>
                    </w:rPr>
                    <w:t xml:space="preserve">Year 2 Target</w:t>
                  </w:r>
                </w:p>
              </w:tc>
              <w:tc>
                <w:tcPr>
                  <w:tcW w:type="dxa" w:w="1288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00114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331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E0E0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/>
                  </w:pPr>
                  <w:r>
                    <w:t xml:space="preserve"/>
                  </w:r>
                </w:p>
              </w:tc>
              <w:tc>
                <w:tcPr>
                  <w:tcW w:type="dxa" w:w="146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shd w:fill="FFFFFF" w:val="clear"/>
                  <w:tcMar>
                    <w:top w:type="dxa" w:w="40"/>
                    <w:left w:type="dxa" w:w="80"/>
                    <w:bottom w:type="dxa" w:w="40"/>
                  </w:tcMar>
                  <w:vAlign w:val="center"/>
                </w:tcPr>
                <w:p>
                  <w:pPr>
                    <w:spacing w:after="0" w:before="0"/>
                    <w:jc w:val="righ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8"/>
                      <w:szCs w:val="18"/>
                    </w:rPr>
                    <w:t xml:space="preserve">&lt;30</w:t>
                  </w:r>
                </w:p>
              </w:tc>
            </w:tr>
          </w:tbl>
          <w:p>
            <w:pPr>
              <w:spacing w:after="100" w:before="0"/>
            </w:pPr>
            <w: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Integration Architecture Shift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</w:tblGrid>
            <w:tr>
              <w:tc>
                <w:tcPr>
                  <w:tcW w:type="dxa" w:w="224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Current State</w:t>
                  </w:r>
                </w:p>
              </w:tc>
              <w:tc>
                <w:tcPr>
                  <w:tcW w:type="dxa" w:w="2246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IBM Target State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Point-to-point coupling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API-first Integration Hub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Batch-heavy processing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Event-driven streaming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Manual data pipelines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AI-quality DataOps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Siloed observability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Unified estate monitoring</w:t>
                  </w:r>
                </w:p>
              </w:tc>
            </w:tr>
            <w:tr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Manual patching cycles</w:t>
                  </w:r>
                </w:p>
              </w:tc>
              <w:tc>
                <w:tcPr>
                  <w:tcW w:type="dxa" w:w="2246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Auto-patch + n-1 standard</w:t>
                  </w:r>
                </w:p>
              </w:tc>
            </w:tr>
          </w:tbl>
          <w:p/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8.0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PHASED ROADMAP &amp; VALUE MILESTONES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Risk-controlled · Compounding value · Transparent governance</w:t>
      </w:r>
    </w:p>
    <w:p>
      <w:pPr>
        <w:spacing w:after="60" w:before="0"/>
      </w:pPr>
      <w:r>
        <w:t xml:space="preserve"/>
      </w:r>
    </w:p>
    <w:p>
      <w:pPr>
        <w:spacing w:after="40" w:before="40"/>
        <w:ind w:left="600" w:right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“Every day a claim processes faster, a prior auth returns sooner, or an outage is resolved before it is noticed — that is a day Horizon’s members and providers experience the difference. IBM’s roadmap is structured so those days start in Week 1, not Year 2.”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Delivery Governance</w:t>
      </w:r>
    </w:p>
    <w:p>
      <w:pPr>
        <w:pBdr>
          <w:bottom w:val="single" w:color="D0E2FF" w:sz="4" w:space="0"/>
        </w:pBdr>
        <w:spacing w:after="100" w:before="0"/>
        <w:ind w:left="2592" w:right="2592"/>
      </w:pP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Phase-by-Phase Delivery Plan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404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</w:t>
            </w:r>
          </w:p>
        </w:tc>
        <w:tc>
          <w:tcPr>
            <w:tcW w:type="dxa" w:w="1029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Timeframe</w:t>
            </w:r>
          </w:p>
        </w:tc>
        <w:tc>
          <w:tcPr>
            <w:tcW w:type="dxa" w:w="411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Focus &amp; Key Deliverables</w:t>
            </w:r>
          </w:p>
        </w:tc>
        <w:tc>
          <w:tcPr>
            <w:tcW w:type="dxa" w:w="2808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Value Signal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0
Foundation</w:t>
            </w:r>
          </w:p>
        </w:tc>
        <w:tc>
          <w:tcPr>
            <w:tcW w:type="dxa" w:w="102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0–8 weeks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Telemetry onboarding  ·  Baseline measurement  ·  Transition plan  ·  AI environment setup  ·  Innovation council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Live dashboards; baselines locked; zero BAU disruption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1
Ignite</w:t>
            </w:r>
          </w:p>
        </w:tc>
        <w:tc>
          <w:tcPr>
            <w:tcW w:type="dxa" w:w="102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1–3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AIOps live  ·  P3/P4 self-heal pilots  ·  GenAI QE framework  ·  AI dev sprints  ·  Quick-win automations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MTTR −20%  ·  Automation ROI begins  ·  QE 45%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2
Scale</w:t>
            </w:r>
          </w:p>
        </w:tc>
        <w:tc>
          <w:tcPr>
            <w:tcW w:type="dxa" w:w="102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3–6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Agentic triage at scale  ·  Integration Hub Wave 1  ·  QE 60%  ·  DataOps monitoring  ·  AI dev across all pods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Auto-resolve &gt;50%  ·  Defect escape −40%  ·  $3–5M cumulative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3
Optimise</w:t>
            </w:r>
          </w:p>
        </w:tc>
        <w:tc>
          <w:tcPr>
            <w:tcW w:type="dxa" w:w="102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Month 6–12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Autonomous ops for common patterns  ·  QE 80%+  ·  Modernisation sprints  ·  Full outcome governance live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Cost takeout $6–10M  ·  MTTR &lt;1.8 hrs  ·  99.9%+ availability</w:t>
            </w:r>
          </w:p>
        </w:tc>
      </w:tr>
      <w:tr>
        <w:tc>
          <w:tcPr>
            <w:tcW w:type="dxa" w:w="1404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Phase 4
Transform</w:t>
            </w:r>
          </w:p>
        </w:tc>
        <w:tc>
          <w:tcPr>
            <w:tcW w:type="dxa" w:w="102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Year 1–2</w:t>
            </w:r>
          </w:p>
        </w:tc>
        <w:tc>
          <w:tcPr>
            <w:tcW w:type="dxa" w:w="411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61616"/>
                <w:sz w:val="19"/>
                <w:szCs w:val="19"/>
              </w:rPr>
              <w:t xml:space="preserve">Full autonomy  ·  Mainframe rehost/refactor  ·  Enterprise observability  ·  Co-invest pipeline</w:t>
            </w:r>
          </w:p>
        </w:tc>
        <w:tc>
          <w:tcPr>
            <w:tcW w:type="dxa" w:w="280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Structural cost takeout 40–50%  ·  Total value $12–18M+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1"/>
          <w:szCs w:val="21"/>
        </w:rPr>
        <w:t xml:space="preserve">KPI Framework</w:t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7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Value Area</w:t>
            </w:r>
          </w:p>
        </w:tc>
        <w:tc>
          <w:tcPr>
            <w:tcW w:type="dxa" w:w="3369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KPIs Tracked</w:t>
            </w:r>
          </w:p>
        </w:tc>
        <w:tc>
          <w:tcPr>
            <w:tcW w:type="dxa" w:w="2246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Source</w:t>
            </w:r>
          </w:p>
        </w:tc>
        <w:tc>
          <w:tcPr>
            <w:tcW w:type="dxa" w:w="1872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D0E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9"/>
                <w:szCs w:val="19"/>
              </w:rPr>
              <w:t xml:space="preserve">Cadence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Operational Excellence</w:t>
            </w:r>
          </w:p>
        </w:tc>
        <w:tc>
          <w:tcPr>
            <w:tcW w:type="dxa" w:w="33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MTTR, availability, incident volume, auto-resolution %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ITSM + AIOps telemetry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Weekly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Cost &amp; Productivity</w:t>
            </w:r>
          </w:p>
        </w:tc>
        <w:tc>
          <w:tcPr>
            <w:tcW w:type="dxa" w:w="33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Automation ROI, demand reduction, delivery velocity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Finance + ITSM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Quality Engineering</w:t>
            </w:r>
          </w:p>
        </w:tc>
        <w:tc>
          <w:tcPr>
            <w:tcW w:type="dxa" w:w="33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Coverage, defect escape rate, regression time, MTTD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QE toolchain + CI/CD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Per sprint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Platform &amp; Modernisation</w:t>
            </w:r>
          </w:p>
        </w:tc>
        <w:tc>
          <w:tcPr>
            <w:tcW w:type="dxa" w:w="33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n-1 compliance, debt index, upgrade velocity, CVE status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4F4F4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CMDB + security scans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  <w:tr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61616"/>
                <w:sz w:val="19"/>
                <w:szCs w:val="19"/>
              </w:rPr>
              <w:t xml:space="preserve">Business Outcomes</w:t>
            </w:r>
          </w:p>
        </w:tc>
        <w:tc>
          <w:tcPr>
            <w:tcW w:type="dxa" w:w="336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Claims cycle, enrollment time, first-call resolution, provider ASA</w:t>
            </w:r>
          </w:p>
        </w:tc>
        <w:tc>
          <w:tcPr>
            <w:tcW w:type="dxa" w:w="224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Domain dashboards</w:t>
            </w:r>
          </w:p>
        </w:tc>
        <w:tc>
          <w:tcPr>
            <w:tcW w:type="dxa" w:w="18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19"/>
                <w:szCs w:val="19"/>
              </w:rPr>
              <w:t xml:space="preserve">Monthly</w:t>
            </w:r>
          </w:p>
        </w:tc>
      </w:tr>
    </w:tbl>
    <w:p>
      <w:pPr>
        <w:spacing w:after="0" w:before="0"/>
      </w:pPr>
      <w:r>
        <w:br w:type="page"/>
      </w:r>
    </w:p>
    <w:p>
      <w:pPr>
        <w:pBdr>
          <w:top w:val="single" w:color="0F62FE" w:sz="12" w:space="6"/>
        </w:pBdr>
        <w:spacing w:after="20" w:before="240"/>
      </w:pPr>
    </w:p>
    <w:p>
      <w:pPr>
        <w:spacing w:after="80" w:before="20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6"/>
          <w:szCs w:val="16"/>
        </w:rPr>
        <w:t xml:space="preserve">9.0  </w:t>
      </w:r>
      <w:r>
        <w:rPr>
          <w:rFonts w:ascii="Calibri" w:cs="Calibri" w:eastAsia="Calibri" w:hAnsi="Calibri"/>
          <w:b/>
          <w:bCs/>
          <w:i w:val="false"/>
          <w:iCs w:val="false"/>
          <w:color w:val="001141"/>
          <w:sz w:val="26"/>
          <w:szCs w:val="26"/>
        </w:rPr>
        <w:t xml:space="preserve">WHY IBM — AND WHY NOW</w:t>
      </w:r>
      <w:r>
        <w:rPr>
          <w:rFonts w:ascii="Calibri" w:cs="Calibri" w:eastAsia="Calibri" w:hAnsi="Calibri"/>
          <w:b w:val="false"/>
          <w:bCs w:val="false"/>
          <w:i/>
          <w:iCs/>
          <w:color w:val="8D8D8D"/>
          <w:sz w:val="19"/>
          <w:szCs w:val="19"/>
        </w:rPr>
        <w:t xml:space="preserve">   The depth, the assets, and the accountability to deliver</w:t>
      </w:r>
    </w:p>
    <w:p>
      <w:pPr>
        <w:spacing w:after="40" w:before="0"/>
      </w:pPr>
      <w:r>
        <w:t xml:space="preserve"/>
      </w: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20,000+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AI &amp; Data Practitioners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globally dedicated</w:t>
            </w:r>
          </w:p>
        </w:tc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81,000+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Cloud &amp; Architecture Experts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across IBM Consulting</w:t>
            </w:r>
          </w:p>
        </w:tc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40,000+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AI/Analytics Engagements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delivered for clients worldwide</w:t>
            </w:r>
          </w:p>
        </w:tc>
        <w:tc>
          <w:tcPr>
            <w:tcW w:type="dxa" w:w="2340"/>
            <w:tcBorders>
              <w:top w:val="single" w:color="0F62FE" w:sz="12"/>
              <w:left w:val="single" w:color="E0E0E0" w:sz="4"/>
              <w:bottom w:val="single" w:color="E0E0E0" w:sz="4"/>
              <w:right w:val="single" w:color="E0E0E0" w:sz="4"/>
            </w:tcBorders>
            <w:shd w:fill="EBF2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16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44"/>
                <w:szCs w:val="44"/>
              </w:rPr>
              <w:t xml:space="preserve">9 of 10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18"/>
                <w:szCs w:val="18"/>
              </w:rPr>
              <w:t xml:space="preserve">Top US Health Payers</w:t>
            </w:r>
          </w:p>
          <w:p>
            <w:pPr>
              <w:spacing w:after="16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8D8D8D"/>
                <w:sz w:val="16"/>
                <w:szCs w:val="16"/>
              </w:rPr>
              <w:t xml:space="preserve">served by IBM Consulting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60" w:before="0"/>
      </w:pPr>
      <w:r>
        <w:t xml:space="preserve"/>
      </w:r>
    </w:p>
    <w:p>
      <w:pPr>
        <w:spacing w:after="40" w:before="40"/>
        <w:ind w:left="600" w:right="60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001141"/>
          <w:sz w:val="22"/>
          <w:szCs w:val="22"/>
        </w:rPr>
        <w:t xml:space="preserve">“IBM’s ultimate accountability is not to a contract. It is to the 3.7 million members who rely on Horizon’s systems every day — the patient waiting for a prior auth, the provider navigating a claims dispute, the family enrolling in coverage for the first time. That is who we are building for.”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8"/>
          <w:szCs w:val="18"/>
        </w:rPr>
        <w:t xml:space="preserve">— IBM Consulting — Healthcare &amp; Payer Delivery</w:t>
      </w:r>
    </w:p>
    <w:p>
      <w:pPr>
        <w:pBdr>
          <w:bottom w:val="single" w:color="D0E2FF" w:sz="4" w:space="0"/>
        </w:pBdr>
        <w:spacing w:after="100" w:before="0"/>
        <w:ind w:left="2592" w:right="2592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righ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What Makes IBM Different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Production-Grade Assets, Day 1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IBM AIOps, ICA, CareOps360, and GenAI Quality Engine are live at comparable payers today — not promised in a roadmap.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Deep Horizon Knowledge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IBM brings institutional knowledge of Horizon’s estate and change history, reducing transition risk to near-zero.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Healthcare Payer DNA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Claims, enrollment, prior auth, member services — IBM has modernised these for the nation’s largest payers.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Shared Risk Model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IBM commits to outcome-based SLAs. Targets missed trigger IBM remediation plans — not contract renegotiations.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1"/>
                <w:szCs w:val="21"/>
              </w:rPr>
              <w:t xml:space="preserve">Innovation at No Extra Cost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Innovation sprints, AI tooling, and accelerators are built into the base model. Transformation is not a separate invoice.</w:t>
            </w:r>
          </w:p>
        </w:tc>
        <w:tc>
          <w:tcPr>
            <w:tcW w:type="dxa" w:w="37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</w:tcPr>
          <w:p>
            <w:pPr>
              <w:spacing w:after="0" w:before="0"/>
            </w:pPr>
            <w:r>
              <w:t xml:space="preserve"/>
            </w:r>
          </w:p>
        </w:tc>
        <w:tc>
          <w:tcPr>
            <w:tcW w:type="dxa" w:w="449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FFFFF" w:val="clear"/>
            <w:tcMar>
              <w:left w:type="dxa" w:w="160"/>
            </w:tcMar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The Next Three Steps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Week 1–2: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Executive alignment session — Horizon leadership + IBM account team. Agree objectives, scope, and governance.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Week 2–4: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Phase 0 SOW agreed. Telemetry onboarding begins. Baseline discovery kicks off. Innovation council constituted.</w:t>
            </w:r>
          </w:p>
          <w:p>
            <w:pPr>
              <w:spacing w:after="40" w:before="10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F62FE"/>
                <w:sz w:val="20"/>
                <w:szCs w:val="20"/>
              </w:rPr>
              <w:t xml:space="preserve">Week 4: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252"/>
                <w:sz w:val="19"/>
                <w:szCs w:val="19"/>
              </w:rPr>
              <w:t xml:space="preserve">Contractual milestone: Phase 0 live. IBM and Horizon operating as one team from Day 1.</w:t>
            </w:r>
          </w:p>
          <w:p>
            <w:pPr>
              <w:spacing w:after="100" w:before="0"/>
            </w:pPr>
            <w:r>
              <w:t xml:space="preserve"/>
            </w:r>
          </w:p>
          <w:p>
            <w:pPr>
              <w:spacing w:after="60" w:before="8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141"/>
                <w:sz w:val="21"/>
                <w:szCs w:val="21"/>
              </w:rPr>
              <w:t xml:space="preserve">IBM vs. The Alternative</w:t>
            </w:r>
          </w:p>
          <w:tbl>
            <w:tblPr>
              <w:tblW w:type="dxa" w:w="4493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00"/>
              <w:gridCol w:w="100"/>
              <w:gridCol w:w="100"/>
            </w:tblGrid>
            <w:tr>
              <w:tc>
                <w:tcPr>
                  <w:tcW w:type="dxa" w:w="1498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Dimension</w:t>
                  </w:r>
                </w:p>
              </w:tc>
              <w:tc>
                <w:tcPr>
                  <w:tcW w:type="dxa" w:w="1498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Status Quo</w:t>
                  </w:r>
                </w:p>
              </w:tc>
              <w:tc>
                <w:tcPr>
                  <w:tcW w:type="dxa" w:w="1498"/>
                  <w:tcBorders>
                    <w:top w:val="single" w:color="0F62FE" w:sz="12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D0E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60" w:before="6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1141"/>
                      <w:sz w:val="19"/>
                      <w:szCs w:val="19"/>
                    </w:rPr>
                    <w:t xml:space="preserve">IBM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Model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Towers, reactive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Unified pods, AI-first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Dev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Manual pipelines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AI-assisted, +30%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Quality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End-stage testing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Shift-left, GenAI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Operations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Firefighting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Self-healing, 0-touch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Reporting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FFF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Activity metrics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Business outcomes</w:t>
                  </w:r>
                </w:p>
              </w:tc>
            </w:tr>
            <w:tr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161616"/>
                      <w:sz w:val="19"/>
                      <w:szCs w:val="19"/>
                    </w:rPr>
                    <w:t xml:space="preserve">Risk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F4F4F4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DA1E28"/>
                      <w:sz w:val="19"/>
                      <w:szCs w:val="19"/>
                    </w:rPr>
                    <w:t xml:space="preserve">Vendor bears none</w:t>
                  </w:r>
                </w:p>
              </w:tc>
              <w:tc>
                <w:tcPr>
                  <w:tcW w:type="dxa" w:w="1498"/>
                  <w:tcBorders>
                    <w:top w:val="single" w:color="E0E0E0" w:sz="4"/>
                    <w:left w:val="single" w:color="E0E0E0" w:sz="4"/>
                    <w:bottom w:val="single" w:color="E0E0E0" w:sz="4"/>
                    <w:right w:val="single" w:color="E0E0E0" w:sz="4"/>
                  </w:tcBorders>
                  <w:shd w:fill="EBF2FF" w:val="clear"/>
                  <w:tcMar>
                    <w:top w:type="dxa" w:w="40"/>
                    <w:left w:type="dxa" w:w="120"/>
                    <w:bottom w:type="dxa" w:w="40"/>
                    <w:right w:type="dxa" w:w="12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F62FE"/>
                      <w:sz w:val="19"/>
                      <w:szCs w:val="19"/>
                    </w:rPr>
                    <w:t xml:space="preserve">Shared, outcome SLAs</w:t>
                  </w:r>
                </w:p>
              </w:tc>
            </w:tr>
          </w:tbl>
          <w:p/>
        </w:tc>
      </w:tr>
    </w:tbl>
    <w:p>
      <w:pPr>
        <w:spacing w:after="120" w:before="0"/>
      </w:pPr>
      <w:r>
        <w:t xml:space="preserve"/>
      </w:r>
    </w:p>
    <w:p>
      <w:pPr>
        <w:pBdr>
          <w:bottom w:val="single" w:color="0F62FE" w:sz="8" w:space="3"/>
        </w:pBdr>
        <w:spacing w:after="100" w:before="100"/>
      </w:pPr>
    </w:p>
    <w:p>
      <w:pPr>
        <w:spacing w:after="80" w:before="0"/>
      </w:pPr>
      <w:r>
        <w:t xml:space="preserve"/>
      </w:r>
    </w:p>
    <w:p>
      <w:pPr>
        <w:spacing w:after="80" w:before="80"/>
        <w:ind w:left="576" w:right="576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161616"/>
          <w:sz w:val="22"/>
          <w:szCs w:val="22"/>
        </w:rPr>
        <w:t xml:space="preserve">“IBM’s measure of success is not tickets closed or alerts silenced. It is the member who gets their answer faster, the provider who spends less time on administration, and the </w:t>
      </w:r>
      <w:r>
        <w:rPr>
          <w:rFonts w:ascii="Calibri" w:cs="Calibri" w:eastAsia="Calibri" w:hAnsi="Calibri"/>
          <w:b/>
          <w:bCs/>
          <w:i/>
          <w:iCs/>
          <w:color w:val="001141"/>
          <w:sz w:val="22"/>
          <w:szCs w:val="22"/>
        </w:rPr>
        <w:t xml:space="preserve">payer that directs every saved dollar back toward the care that matters.</w:t>
      </w:r>
      <w:r>
        <w:rPr>
          <w:rFonts w:ascii="Calibri" w:cs="Calibri" w:eastAsia="Calibri" w:hAnsi="Calibri"/>
          <w:b w:val="false"/>
          <w:bCs w:val="false"/>
          <w:i/>
          <w:iCs/>
          <w:color w:val="161616"/>
          <w:sz w:val="22"/>
          <w:szCs w:val="22"/>
        </w:rPr>
        <w:t xml:space="preserve"> That is why we are here.”</w:t>
      </w:r>
    </w:p>
    <w:p>
      <w:pPr>
        <w:spacing w:after="200" w:before="0"/>
        <w:jc w:val="right"/>
      </w:pPr>
      <w:r>
        <w:rPr>
          <w:rFonts w:ascii="Calibri" w:cs="Calibri" w:eastAsia="Calibri" w:hAnsi="Calibri"/>
          <w:b/>
          <w:bCs/>
          <w:i w:val="false"/>
          <w:iCs w:val="false"/>
          <w:color w:val="0F62FE"/>
          <w:sz w:val="19"/>
          <w:szCs w:val="19"/>
        </w:rPr>
        <w:t xml:space="preserve">— IBM Consulting, Healthcare &amp; Payer Delivery  |  April 2026</w:t>
      </w:r>
    </w:p>
    <w:p>
      <w:pPr>
        <w:pBdr>
          <w:bottom w:val="single" w:color="E0E0E0" w:sz="2" w:space="3"/>
        </w:pBdr>
        <w:spacing w:after="80" w:before="80"/>
      </w:pPr>
    </w:p>
    <w:p>
      <w:pPr>
        <w:spacing w:after="60" w:before="6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8D8D8D"/>
          <w:sz w:val="15"/>
          <w:szCs w:val="15"/>
        </w:rPr>
        <w:t xml:space="preserve">© 2026 IBM Corporation. All rights reserved.  Confidential — prepared exclusively for Horizon Healthcare Services.  Ref: IBM-HZN-AMS-RFP-2026-CAS</w:t>
      </w:r>
    </w:p>
    <w:sectPr>
      <w:headerReference w:type="default" r:id="rId7"/>
      <w:footerReference w:type="default" r:id="rId8"/>
      <w:pgSz w:w="11906" w:h="16838" w:orient="portrait"/>
      <w:pgMar w:top="1224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2" w:space="3"/>
      </w:pBdr>
      <w:spacing w:before="60"/>
    </w:pP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CareOps360  ·  IBM AIOps  ·  IBM Consulting Advantage</w:t>
    </w:r>
    <w:r>
      <w:rPr>
        <w:rFonts w:ascii="Calibri" w:cs="Calibri" w:eastAsia="Calibri" w:hAnsi="Calibri"/>
        <w:b w:val="false"/>
        <w:bCs w:val="false"/>
        <w:i w:val="false"/>
        <w:iCs w:val="false"/>
        <w:color w:val="8D8D8D"/>
        <w:sz w:val="15"/>
        <w:szCs w:val="15"/>
      </w:rPr>
      <w:t xml:space="preserve">   |   © 2026 IBM Corporation   |   Page </w:t>
    </w:r>
    <w:r>
      <w:rPr>
        <w:rFonts w:ascii="Calibri" w:cs="Calibri" w:eastAsia="Calibri" w:hAnsi="Calibri"/>
        <w:color w:val="8D8D8D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F62FE" w:sz="4" w:space="4"/>
      </w:pBdr>
      <w:jc w:val="right"/>
    </w:pPr>
    <w:r>
      <w:rPr>
        <w:rFonts w:ascii="Calibri" w:cs="Calibri" w:eastAsia="Calibri" w:hAnsi="Calibri"/>
        <w:b/>
        <w:bCs/>
        <w:i w:val="false"/>
        <w:iCs w:val="false"/>
        <w:color w:val="8D8D8D"/>
        <w:sz w:val="15"/>
        <w:szCs w:val="15"/>
      </w:rPr>
      <w:t xml:space="preserve">IBM × HORIZON BCBS  |  APPLICATION DELIVERY, QUALITY &amp; OPERATIONS TRANSFORMATION</w:t>
    </w:r>
    <w:r>
      <w:rPr>
        <w:rFonts w:ascii="Calibri" w:cs="Calibri" w:eastAsia="Calibri" w:hAnsi="Calibri"/>
        <w:b/>
        <w:bCs/>
        <w:i w:val="false"/>
        <w:iCs w:val="false"/>
        <w:color w:val="0F62FE"/>
        <w:sz w:val="15"/>
        <w:szCs w:val="15"/>
      </w:rPr>
      <w:t xml:space="preserve">  —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IBM × Horizon BCBS — Application Delivery, Quality &amp; Operations Transformation</dc:title>
  <dc:creator>IBM Consulting</dc:creator>
  <cp:lastModifiedBy>Un-named</cp:lastModifiedBy>
  <cp:revision>1</cp:revision>
  <dcterms:created xsi:type="dcterms:W3CDTF">2026-04-16T04:17:35.060Z</dcterms:created>
  <dcterms:modified xsi:type="dcterms:W3CDTF">2026-04-16T04:17:35.061Z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