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solid"/>
        <w:spacing w:after="280" w:befor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FFFFFF"/>
          <w:sz w:val="17"/>
          <w:szCs w:val="17"/>
        </w:rPr>
        <w:t xml:space="preserve">IBM CONSULTING   |   HEALTHCARE &amp; PAYER DELIVERY</w:t>
      </w:r>
    </w:p>
    <w:p>
      <w:pPr>
        <w:shd w:fill="0F62FE" w:val="solid"/>
        <w:spacing w:after="60" w:before="0"/>
      </w:pPr>
    </w:p>
    <w:p>
      <w:pPr>
        <w:spacing w:after="0" w:before="5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  </w:t>
      </w:r>
    </w:p>
    <w:p>
      <w:pPr>
        <w:spacing w:after="1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62FE"/>
          <w:sz w:val="16"/>
          <w:szCs w:val="16"/>
        </w:rPr>
        <w:t xml:space="preserve">CONFIDENTIAL  |  APRIL 2026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62FE"/>
          <w:sz w:val="20"/>
          <w:szCs w:val="20"/>
        </w:rPr>
        <w:t xml:space="preserve">IBM ×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68"/>
          <w:szCs w:val="68"/>
        </w:rPr>
        <w:t xml:space="preserve">Application Management</w:t>
      </w:r>
    </w:p>
    <w:p>
      <w:pPr>
        <w:spacing w:after="6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68"/>
          <w:szCs w:val="68"/>
        </w:rPr>
        <w:t xml:space="preserve">Services Transformation</w:t>
      </w:r>
    </w:p>
    <w:p>
      <w:pPr>
        <w:spacing w:after="40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25252"/>
          <w:sz w:val="26"/>
          <w:szCs w:val="26"/>
        </w:rPr>
        <w:t xml:space="preserve">Executive Summary  ·  AI-First  ·  Business-Led  ·  Zero-Touch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40–50%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Structural Cost Takeout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vs. current run-rate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25–40%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Speed to Market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faster change delivery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&gt;74%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Incident Auto-Resolution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P3/P4 zero-touch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80%+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Automation Coverage Target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from ~25% today</w:t>
            </w:r>
          </w:p>
        </w:tc>
      </w:tr>
    </w:tbl>
    <w:p>
      <w:pPr>
        <w:spacing w:after="2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80" w:before="80"/>
        <w:ind w:left="1584" w:right="1584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“This is not an outsourcing contract. This is a transformation covenant — where IBM's success is defined by Horizon's outcomes.”</w:t>
      </w:r>
    </w:p>
    <w:p>
      <w:pPr>
        <w:spacing w:after="40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pBdr>
          <w:top w:val="single" w:color="0F62FE" w:sz="6" w:space="0"/>
        </w:pBdr>
        <w:spacing w:after="0" w:before="200"/>
        <w:ind w:lef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17"/>
          <w:szCs w:val="17"/>
        </w:rPr>
        <w:t xml:space="preserve">Prepared for: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Horizon Healthcare Services 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17"/>
          <w:szCs w:val="17"/>
        </w:rPr>
        <w:t xml:space="preserve">Reference: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IBM-HZN-AMS-RFP-2026-CAS 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17"/>
          <w:szCs w:val="17"/>
        </w:rPr>
        <w:t xml:space="preserve">Date: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April 2026</w:t>
      </w:r>
    </w:p>
    <w:p>
      <w:pPr>
        <w:shd w:fill="001141" w:val="solid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FFFFFF"/>
          <w:sz w:val="15"/>
          <w:szCs w:val="15"/>
        </w:rPr>
        <w:t xml:space="preserve">© 2026 IBM Corporation. All rights reserved.  Powered by CareOps360 · IBM AIOps · IBM Consulting Advantage · ICA</w:t>
      </w:r>
    </w:p>
    <w:p>
      <w:pPr>
        <w:spacing w:after="0" w:before="0"/>
      </w:pPr>
      <w:r>
        <w:br w:type="page"/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1.0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THE STRATEGIC IMPERATIVE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Why the status quo is not an option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“Every day Horizon runs on fragmented, reactive operations is a day competitors move faster, costs compound, and member expectations go unmet. The window to act is now.”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Consulting — AMS Transformation Brief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Challenge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~500 applications across enrollment, claims, member services, provider ops, and data — managed in siloed delivery towers with no unified ownership.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Manual triage, batch-heavy integration, and reactive incident response drive hidden costs and slow the change pipeline by weeks.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Automation coverage at ~25% leaves engineers buried in repetitive work that adds no business value.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Quality is tested late — defects escape to production, driving downstream rework and member dissatisfaction.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Technical debt is accumulating faster than teams can remediate it, increasing security and compliance exposure.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621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Pain Area</w:t>
                  </w:r>
                </w:p>
              </w:tc>
              <w:tc>
                <w:tcPr>
                  <w:tcW w:type="dxa" w:w="1872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Impact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Reactive ops model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FFF1F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High cost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Manual incident triage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FFF1F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Slow MTTR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25% test automation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FFF1F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Defect leakage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Siloed delivery towers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FFF1F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Missed SLAs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Tech debt accumulation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FFF1F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Security risk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IBM Response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An AI-first, business-led operating model — where AIOps, agentic intelligence, and automation form the engine of Horizon's application estate.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Zero-touch delivery: automated triage, self-healing systems, and GenAI-assisted quality that eliminates repetitive human intervention.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Integrated product pods own the full change lifecycle — build, test, release, monitor, heal — with no handoff gaps.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A governed value pipeline: modernization, innovation, and improvement embedded into steady-state — not managed as separate projects.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0"/>
                <w:szCs w:val="20"/>
              </w:rPr>
              <w:t xml:space="preserve">Executive transparency: real-time outcome dashboards replacing activity metrics with business impact measurement.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621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IBM Solution</w:t>
                  </w:r>
                </w:p>
              </w:tc>
              <w:tc>
                <w:tcPr>
                  <w:tcW w:type="dxa" w:w="1872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Outcome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AIOps + Agentic AI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&gt;74% auto-resolve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Zero-Touch Pipeline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-55% MTTR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GenAI Quality Engine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80%+ coverage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Unified Product Pods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No handoff loss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Outcome Governance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Measurable ROI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2.0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THE IBM OPERATING MODEL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Business-Led · AI-Powered · Zero-Touch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IBM's operating model collapses four traditional delivery towers into a single, product-aligned system where AI does the routing, testing, triage, and self-healing — freeing human expertise for high-value engineering and innovation.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6"/>
                <w:szCs w:val="16"/>
              </w:rPr>
              <w:t xml:space="preserve">BUSINESS OUTCOMES LAYER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D0E2FF"/>
                <w:sz w:val="17"/>
                <w:szCs w:val="17"/>
              </w:rPr>
              <w:t xml:space="preserve">Claims · Enrollment · Member Experience · Provider Operations · Data Products</w:t>
            </w:r>
          </w:p>
        </w:tc>
      </w:tr>
      <w:tr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2FE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AMS
Pod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72C3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QE
Pod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5D5D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DataOps
Pod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6929C4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Integration
Pod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43CE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Innovation
Pod</w:t>
            </w:r>
          </w:p>
        </w:tc>
      </w:tr>
      <w:tr>
        <w:tc>
          <w:tcPr>
            <w:gridSpan w:val="5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D0E2FF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AI ENGINE  —  IBM AIOps · Agentic Intelligence · ICA · GenAI Quality · CareOps360</w:t>
            </w:r>
          </w:p>
        </w:tc>
      </w:tr>
      <w:tr>
        <w:tc>
          <w:tcPr>
            <w:gridSpan w:val="5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21272A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PLATFORM FOUNDATION  —  Hybrid Cloud · Integration Hub · Mainframe Modernization · DataOps · Security &amp; Compliance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Six Core Tenets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01  AI-First by Design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AI embedded in every operational touchpoint — triage, diagnosis, quality, deployment. Not a bolt-on; a structural shift.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02  Business-Led Operations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Business outcome ownership drives every technology decision. Pods are aligned to business domains, not technology towers.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03  Zero-Touch Delivery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P3/P4 incidents resolve without human intervention. Change pipelines run automatically. Releases are quality-gated and risk-scored.</w:t>
            </w:r>
          </w:p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04  Integrated Delivery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AMS, QE, and Data operate as one team, one backlog, one pipeline. Handoffs disappear; accountability is end-to-end.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05  Continuous Innovation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 governed innovation pipeline runs alongside steady-state. Every sprint can include a modernization sprint at no additional cost.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06  Executive Transparency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Outcomes are tracked in real-time. KPIs move from ticket counts to business impact: cycle time, defect leakage, cost takeout.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3.0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AIOPS &amp; AGENTIC INTELLIGENCE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From reactive support to autonomous operations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“When AI can detect, route, diagnose, and resolve — humans stop being firefighters and start being engineers. That shift compounds into $8–12M in annual value for Horizon.”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AIOps Value Case — Horizon Estate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How the AI Engine Works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Six purpose-built AI agents work as a coordinated system — ingesting telemetry, correlating signals, routing issues, and resolving them — often before an engineer is notified.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153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Agent</w:t>
                  </w:r>
                </w:p>
              </w:tc>
              <w:tc>
                <w:tcPr>
                  <w:tcW w:type="dxa" w:w="1404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Role</w:t>
                  </w:r>
                </w:p>
              </w:tc>
              <w:tc>
                <w:tcPr>
                  <w:tcW w:type="dxa" w:w="93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Detection &amp; Correlation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&gt;60% noise cut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$2.5–3.5M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Triage Agent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Instant routing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$1.3–1.5M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Root Cause AI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Guided diagnosis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Auto-Remediation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Self-heal P3/P4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$1.5–2.0M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Knowledge Agent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Closes loops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$1.0–1.3M</w:t>
                  </w:r>
                </w:p>
              </w:tc>
            </w:tr>
            <w:tr>
              <w:tc>
                <w:tcPr>
                  <w:tcW w:type="dxa" w:w="215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Deployment AI</w:t>
                  </w:r>
                </w:p>
              </w:tc>
              <w:tc>
                <w:tcPr>
                  <w:tcW w:type="dxa" w:w="140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Risk-scored CI/CD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$0.8–1.2M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Before vs. After — Key Metrics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525252"/>
                <w:sz w:val="16"/>
                <w:szCs w:val="16"/>
              </w:rPr>
              <w:t xml:space="preserve">BEFORE (grey)  vs.  AFTER IBM AIOps (blue)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159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Alert noise resolved</w:t>
                  </w:r>
                </w:p>
              </w:tc>
              <w:tc>
                <w:tcPr>
                  <w:tcW w:type="dxa" w:w="243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74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34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3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59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Incidents auto-resolved</w:t>
                  </w:r>
                </w:p>
              </w:tc>
              <w:tc>
                <w:tcPr>
                  <w:tcW w:type="dxa" w:w="122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95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01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16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59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Automation coverage</w:t>
                  </w:r>
                </w:p>
              </w:tc>
              <w:tc>
                <w:tcPr>
                  <w:tcW w:type="dxa" w:w="304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13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74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43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591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System availability</w:t>
                  </w:r>
                </w:p>
              </w:tc>
              <w:tc>
                <w:tcPr>
                  <w:tcW w:type="dxa" w:w="1180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216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Metric</w:t>
                  </w:r>
                </w:p>
              </w:tc>
              <w:tc>
                <w:tcPr>
                  <w:tcW w:type="dxa" w:w="1123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MTTR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&gt;4 hours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&lt;1.8 hrs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P3/P4 Auto-Resolve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&lt;10%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&gt;74%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Alert Noise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Unfiltered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&gt;60% cut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Availability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~99.7%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99.9%+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hd w:fill="001141" w:val="solid"/>
        <w:spacing w:after="120" w:before="120"/>
        <w:ind w:left="200" w:right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FFFFFF"/>
          <w:sz w:val="20"/>
          <w:szCs w:val="20"/>
        </w:rPr>
        <w:t xml:space="preserve">IBM AIOps is not monitoring. It is a closed-loop autonomous operations engine — detect, correlate, triage, resolve, learn, prevent.</w:t>
      </w:r>
    </w:p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4.0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ZERO-TOUCH DELIVERY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Automating the full change &amp; operations lifecycle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“Zero-Touch means: the system heals itself before the phone rings, the pipeline validates before the engineer commits, and the release deploys safely while the team sleeps.”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Zero-Touch Delivery Framework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Zero-Touch Delivery is not a goal — it is an engineering discipline. Every manual intervention is a failure mode to be automated away. IBM's delivery model targets zero human touch for all recurring operational patterns, eliminating toil and compounding engineer capacity toward innovation.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The Zero-Touch Operations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1141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DETECT
Telemetry ingestion
Anomaly detection
Correlation engine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5D5D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CORRELATE
Signal grouping
Noise reduction
&gt;60% alert cut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43C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TRIAGE
AI routing
Impact scoring
Auto-assign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2FE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RESOLVE
Self-heal runbooks
P3/P4 zero-touch
Auto-remediate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6929C4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LEARN
Post-incident
Knowledge capture
Prevent recurrence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Automation Maturity Ladder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Progress from Level 1 to Level 5 — each level compounds value from the one before.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Level 5: Predictive &amp; Preventive</w:t>
                  </w:r>
                </w:p>
              </w:tc>
              <w:tc>
                <w:tcPr>
                  <w:tcW w:type="dxa" w:w="378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2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Target Y2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Level 4: Self-Healing Ops</w:t>
                  </w:r>
                </w:p>
              </w:tc>
              <w:tc>
                <w:tcPr>
                  <w:tcW w:type="dxa" w:w="3150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5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Year 2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Level 3: Agentic Triage &amp; Resolve</w:t>
                  </w:r>
                </w:p>
              </w:tc>
              <w:tc>
                <w:tcPr>
                  <w:tcW w:type="dxa" w:w="252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8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Month 6+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Level 2: Automated Monitoring</w:t>
                  </w:r>
                </w:p>
              </w:tc>
              <w:tc>
                <w:tcPr>
                  <w:tcW w:type="dxa" w:w="1680"/>
                  <w:tcBorders>
                    <w:top w:val="none"/>
                    <w:left w:val="none"/>
                    <w:bottom w:val="none"/>
                    <w:right w:val="none"/>
                  </w:tcBorders>
                  <w:shd w:fill="005D5D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2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5D5D"/>
                      <w:sz w:val="18"/>
                      <w:szCs w:val="18"/>
                    </w:rPr>
                    <w:t xml:space="preserve">Month 3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Level 1: Reactive Manual Ops</w:t>
                  </w:r>
                </w:p>
              </w:tc>
              <w:tc>
                <w:tcPr>
                  <w:tcW w:type="dxa" w:w="840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6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8D8D8D"/>
                      <w:sz w:val="18"/>
                      <w:szCs w:val="18"/>
                    </w:rPr>
                    <w:t xml:space="preserve">Today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Change Pipeline: CI/CD + AI Risk Gating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Every release passes through AI-scored risk gates — no human approval required for low-risk changes.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Stage</w:t>
                  </w:r>
                </w:p>
              </w:tc>
              <w:tc>
                <w:tcPr>
                  <w:tcW w:type="dxa" w:w="1310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Automation</w:t>
                  </w:r>
                </w:p>
              </w:tc>
              <w:tc>
                <w:tcPr>
                  <w:tcW w:type="dxa" w:w="1123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Human Touch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Code commit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GenAI review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Exception only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Unit &amp; integration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AI-gen tests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98038"/>
                      <w:sz w:val="17"/>
                      <w:szCs w:val="17"/>
                    </w:rPr>
                    <w:t xml:space="preserve">None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Performance gate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AI benchmarking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98038"/>
                      <w:sz w:val="17"/>
                      <w:szCs w:val="17"/>
                    </w:rPr>
                    <w:t xml:space="preserve">None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Security scan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Auto-remediate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Critical CVEs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Release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AI risk score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Tier 1 only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5.0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BUSINESS-LED OPERATIONS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Technology in service of outcomes — not the reverse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“The fundamental shift: technology teams stop managing systems and start owning business outcomes. Every KPI traces to member experience, claims velocity, or operational cost.”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Outcome Ownership Framework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Business Domain Outcomes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77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Domain</w:t>
                  </w:r>
                </w:p>
              </w:tc>
              <w:tc>
                <w:tcPr>
                  <w:tcW w:type="dxa" w:w="149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KPI</w:t>
                  </w:r>
                </w:p>
              </w:tc>
              <w:tc>
                <w:tcPr>
                  <w:tcW w:type="dxa" w:w="1217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Claims Adjudication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Processing cycle time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-30%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Enrollment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Time-to-activation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-40%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Member Services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First-call resolution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+25%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Provider Ops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Auth processing time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-35%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Data Products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Report delivery latency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-50%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IT Operations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MTTR / auto-resolve</w:t>
                  </w:r>
                </w:p>
              </w:tc>
              <w:tc>
                <w:tcPr>
                  <w:tcW w:type="dxa" w:w="1217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&gt;74% auto</w:t>
                  </w:r>
                </w:p>
              </w:tc>
            </w:tr>
          </w:tbl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Operational Cost Takeout Model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6"/>
                <w:szCs w:val="16"/>
              </w:rPr>
              <w:t xml:space="preserve">Directional value — baselines confirmed in Phase 0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3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AIOps &amp; Auto-Remediation</w:t>
                  </w:r>
                </w:p>
              </w:tc>
              <w:tc>
                <w:tcPr>
                  <w:tcW w:type="dxa" w:w="357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63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$3.5–6.5M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GenAI QE Automation</w:t>
                  </w:r>
                </w:p>
              </w:tc>
              <w:tc>
                <w:tcPr>
                  <w:tcW w:type="dxa" w:w="2940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26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$2.5–4.0M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Zero-Touch Pipeline</w:t>
                  </w:r>
                </w:p>
              </w:tc>
              <w:tc>
                <w:tcPr>
                  <w:tcW w:type="dxa" w:w="252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8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Platform Modernization</w:t>
                  </w:r>
                </w:p>
              </w:tc>
              <w:tc>
                <w:tcPr>
                  <w:tcW w:type="dxa" w:w="1890"/>
                  <w:tcBorders>
                    <w:top w:val="none"/>
                    <w:left w:val="none"/>
                    <w:bottom w:val="none"/>
                    <w:right w:val="none"/>
                  </w:tcBorders>
                  <w:shd w:fill="005D5D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31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5D5D"/>
                      <w:sz w:val="18"/>
                      <w:szCs w:val="18"/>
                    </w:rPr>
                    <w:t xml:space="preserve">$1.5–2.5M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Demand Reduction / Ticket
Economics</w:t>
                  </w:r>
                </w:p>
              </w:tc>
              <w:tc>
                <w:tcPr>
                  <w:tcW w:type="dxa" w:w="2310"/>
                  <w:tcBorders>
                    <w:top w:val="none"/>
                    <w:left w:val="none"/>
                    <w:bottom w:val="none"/>
                    <w:right w:val="none"/>
                  </w:tcBorders>
                  <w:shd w:fill="6929C4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9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929C4"/>
                      <w:sz w:val="18"/>
                      <w:szCs w:val="18"/>
                    </w:rPr>
                    <w:t xml:space="preserve">$1.0–2.0M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Outcome Governance Model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IBM replaces activity-metric reporting with three tiers of outcome accountability: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Operational Cadence  (Weekly)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SLA adherence, MTTR, incident volume, pipeline velocity — tracked in CareOps360 in real-time.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Executive Cadence  (Monthly)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Cost takeout actuals, automation coverage progress, modernization milestones, business KPI movement.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Board Cadence  (Quarterly)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Strategic outcome review: innovation delivered, total value realized, year-ahead investment priorities.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CareOps360 — Real-Time Executive Dashboard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Dashboard View</w:t>
                  </w:r>
                </w:p>
              </w:tc>
              <w:tc>
                <w:tcPr>
                  <w:tcW w:type="dxa" w:w="224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Audience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Operations Command Center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IT Leadership / CTO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Cost Takeout Tracker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CFO / Operations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Modernization Heatmap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Enterprise Architects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Quality Intelligence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QE Leads / CIO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AI Agent Performance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AIOps / SRE Teams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6.0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QUALITY ENGINEERING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Shift-left · GenAI-assisted · Always-on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“Quality is not a phase at the end of a sprint. It is a continuous signal — from commit to production — powered by GenAI test generation, AI defect prediction, and closed-loop learning.”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Quality Engineering — AI-First Framework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Quality Coverage Progression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From ~25% today to 80%+ by month 12 — driven by GenAI-assisted test generation: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1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Month 0  (Baseline)</w:t>
                  </w:r>
                </w:p>
              </w:tc>
              <w:tc>
                <w:tcPr>
                  <w:tcW w:type="dxa" w:w="1125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75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8D8D8D"/>
                      <w:sz w:val="18"/>
                      <w:szCs w:val="18"/>
                    </w:rPr>
                    <w:t xml:space="preserve">~25%</w:t>
                  </w:r>
                </w:p>
              </w:tc>
            </w:tr>
            <w:tr>
              <w:tc>
                <w:tcPr>
                  <w:tcW w:type="dxa" w:w="21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Month 3  (Ignite)</w:t>
                  </w:r>
                </w:p>
              </w:tc>
              <w:tc>
                <w:tcPr>
                  <w:tcW w:type="dxa" w:w="2025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475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45%</w:t>
                  </w:r>
                </w:p>
              </w:tc>
            </w:tr>
            <w:tr>
              <w:tc>
                <w:tcPr>
                  <w:tcW w:type="dxa" w:w="21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Month 6  (Scale)</w:t>
                  </w:r>
                </w:p>
              </w:tc>
              <w:tc>
                <w:tcPr>
                  <w:tcW w:type="dxa" w:w="279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1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62%</w:t>
                  </w:r>
                </w:p>
              </w:tc>
            </w:tr>
            <w:tr>
              <w:tc>
                <w:tcPr>
                  <w:tcW w:type="dxa" w:w="21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Month 9  (Optimize)</w:t>
                  </w:r>
                </w:p>
              </w:tc>
              <w:tc>
                <w:tcPr>
                  <w:tcW w:type="dxa" w:w="3375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125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75%</w:t>
                  </w:r>
                </w:p>
              </w:tc>
            </w:tr>
            <w:tr>
              <w:tc>
                <w:tcPr>
                  <w:tcW w:type="dxa" w:w="21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Month 12 (Target)</w:t>
                  </w:r>
                </w:p>
              </w:tc>
              <w:tc>
                <w:tcPr>
                  <w:tcW w:type="dxa" w:w="3690"/>
                  <w:tcBorders>
                    <w:top w:val="none"/>
                    <w:left w:val="none"/>
                    <w:bottom w:val="none"/>
                    <w:right w:val="none"/>
                  </w:tcBorders>
                  <w:shd w:fill="001141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81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8"/>
                      <w:szCs w:val="18"/>
                    </w:rPr>
                    <w:t xml:space="preserve">82%</w:t>
                  </w:r>
                </w:p>
              </w:tc>
            </w:tr>
          </w:tbl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QE Metric</w:t>
                  </w:r>
                </w:p>
              </w:tc>
              <w:tc>
                <w:tcPr>
                  <w:tcW w:type="dxa" w:w="1123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Current</w:t>
                  </w:r>
                </w:p>
              </w:tc>
              <w:tc>
                <w:tcPr>
                  <w:tcW w:type="dxa" w:w="1310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Defect Escape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High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−65%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Regression Time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Multi-day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−70%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MTTD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&gt;2 hrs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&lt;15 min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False Positives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High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&lt;5%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GenAI Quality Engine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Test Generation at Scale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GenAI synthesizes regression, integration, and edge-case tests from code changes — at commit speed. No human authoring required for standard coverage.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Defect Prediction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AI models trained on Horizon's incident history flag high-risk code paths before they reach UAT. Shift-left at the commit level.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Release Readiness Scoring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Each release receives an AI-computed readiness score — combining test coverage delta, risk profile, and historical defect patterns.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Production Feedback Loop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Every production defect teaches the QE engine. Coverage evolves automatically; test suites improve with each release cycle.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80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Capability</w:t>
                  </w:r>
                </w:p>
              </w:tc>
              <w:tc>
                <w:tcPr>
                  <w:tcW w:type="dxa" w:w="1685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Tool / Method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AI Test Generation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IBM Consulting Advantage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Shift-Left Gates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GenAI code review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Performance Testing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AI benchmarking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Security QA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SAST/DAST + AI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Test Maintenance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Auto-heal scripts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7.0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PLATFORM &amp; DATA MODERNIZATION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Eliminating the debt that slows Horizon down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IBM treats platform modernization as a continuous discipline embedded in steady-state delivery — not a separate programme. Every sprint may include a modernization sprint. Technical debt is tracked, prioritized by business impact, and burned down systematically through a governed value pipeline.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Modernization Waves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Workstream</w:t>
                  </w:r>
                </w:p>
              </w:tc>
              <w:tc>
                <w:tcPr>
                  <w:tcW w:type="dxa" w:w="93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Wave</w:t>
                  </w:r>
                </w:p>
              </w:tc>
              <w:tc>
                <w:tcPr>
                  <w:tcW w:type="dxa" w:w="149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Approach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Integration Hub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1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API-first + event streaming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Mainframe APIs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1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API-wrap strategy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App Portfolio (~500)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2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Assess → rationalize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Mainframe Rehost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2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Lift-and-shift + validate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DataOps Pipeline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1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AI-driven quality engine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Mainframe Refactor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3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Selective modernize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Cloud Optimization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Wave 2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Cost + performance tuning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Security Hardening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Ongoing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7"/>
                      <w:szCs w:val="17"/>
                    </w:rPr>
                    <w:t xml:space="preserve">n-1 standard + CVE auto-patch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Technical Debt Burndown Trajectory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Debt index by quarter — driven by n-1 standard enforcement, sprint embedding, and CVE auto-remediation: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Q1 (Baseline)</w:t>
                  </w:r>
                </w:p>
              </w:tc>
              <w:tc>
                <w:tcPr>
                  <w:tcW w:type="dxa" w:w="4500"/>
                  <w:tcBorders>
                    <w:top w:val="none"/>
                    <w:left w:val="none"/>
                    <w:bottom w:val="none"/>
                    <w:right w:val="none"/>
                  </w:tcBorders>
                  <w:shd w:fill="DA1E28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100 (index)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Q2 (Post Wave 1)</w:t>
                  </w:r>
                </w:p>
              </w:tc>
              <w:tc>
                <w:tcPr>
                  <w:tcW w:type="dxa" w:w="3510"/>
                  <w:tcBorders>
                    <w:top w:val="none"/>
                    <w:left w:val="none"/>
                    <w:bottom w:val="none"/>
                    <w:right w:val="none"/>
                  </w:tcBorders>
                  <w:shd w:fill="F1C21B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9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1C21B"/>
                      <w:sz w:val="18"/>
                      <w:szCs w:val="18"/>
                    </w:rPr>
                    <w:t xml:space="preserve">78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Q3 (Scale)</w:t>
                  </w:r>
                </w:p>
              </w:tc>
              <w:tc>
                <w:tcPr>
                  <w:tcW w:type="dxa" w:w="2790"/>
                  <w:tcBorders>
                    <w:top w:val="none"/>
                    <w:left w:val="none"/>
                    <w:bottom w:val="none"/>
                    <w:right w:val="none"/>
                  </w:tcBorders>
                  <w:shd w:fill="F1C21B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1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1C21B"/>
                      <w:sz w:val="18"/>
                      <w:szCs w:val="18"/>
                    </w:rPr>
                    <w:t xml:space="preserve">62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Q4 (Optimize)</w:t>
                  </w:r>
                </w:p>
              </w:tc>
              <w:tc>
                <w:tcPr>
                  <w:tcW w:type="dxa" w:w="2160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34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48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Year 2 Target</w:t>
                  </w:r>
                </w:p>
              </w:tc>
              <w:tc>
                <w:tcPr>
                  <w:tcW w:type="dxa" w:w="135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150"/>
                  <w:tcBorders>
                    <w:top w:val="none"/>
                    <w:left w:val="none"/>
                    <w:bottom w:val="none"/>
                    <w:right w:val="none"/>
                  </w:tcBorders>
                  <w:shd w:fill="DFE3E6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&lt;30</w:t>
                  </w:r>
                </w:p>
              </w:tc>
            </w:tr>
          </w:tbl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Integration Architecture Shift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525252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Current State</w:t>
                  </w:r>
                </w:p>
              </w:tc>
              <w:tc>
                <w:tcPr>
                  <w:tcW w:type="dxa" w:w="2246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IBM Target State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Point-to-point (P2P)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API-first Integration Hub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Batch-heavy processing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Event-driven streaming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Manual data pipelines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AI-quality DataOps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Siloed CMDB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Unified observability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Manual patching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Auto-patch + n-1 gov.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8.0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PHASED ROADMAP &amp; VALUE REALIZATION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Risk-controlled · Milestone-governed · Value-compounding</w:t>
      </w:r>
    </w:p>
    <w:p>
      <w:pPr>
        <w:pBdr>
          <w:left w:val="single" w:color="0F62FE" w:sz="20" w:space="8"/>
        </w:pBdr>
        <w:shd w:fill="EBF2FF" w:val="solid"/>
        <w:spacing w:after="0" w:before="120"/>
        <w:ind w:left="240" w:right="160"/>
      </w:pPr>
    </w:p>
    <w:p>
      <w:pPr>
        <w:pBdr>
          <w:left w:val="single" w:color="0F62FE" w:sz="20" w:space="8"/>
        </w:pBdr>
        <w:shd w:fill="EBF2FF" w:val="solid"/>
        <w:spacing w:after="0" w:before="60"/>
        <w:ind w:left="24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D6C"/>
          <w:sz w:val="22"/>
          <w:szCs w:val="22"/>
        </w:rPr>
        <w:t xml:space="preserve">“Value is not delivered at the end. It compounds from Day 1 — every automation added, every self-heal triggered, every test generated is a dollar saved and a risk avoided.”</w:t>
      </w:r>
    </w:p>
    <w:p>
      <w:pPr>
        <w:pBdr>
          <w:left w:val="single" w:color="0F62FE" w:sz="20" w:space="8"/>
        </w:pBdr>
        <w:shd w:fill="EBF2FF" w:val="solid"/>
        <w:spacing w:after="120" w:before="40"/>
        <w:ind w:left="24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Delivery Governance Framework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Roadmap: Phases 0 to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497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123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Timeframe</w:t>
            </w:r>
          </w:p>
        </w:tc>
        <w:tc>
          <w:tcPr>
            <w:tcW w:type="dxa" w:w="4118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Key Deliverables</w:t>
            </w:r>
          </w:p>
        </w:tc>
        <w:tc>
          <w:tcPr>
            <w:tcW w:type="dxa" w:w="2620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F62FE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Value Signal</w:t>
            </w:r>
          </w:p>
        </w:tc>
      </w:tr>
      <w:tr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0
Foundation</w:t>
            </w:r>
          </w:p>
        </w:tc>
        <w:tc>
          <w:tcPr>
            <w:tcW w:type="dxa" w:w="1123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0–8 wks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Telemetry onboarding · Baseline establishment · Transition plan · AI environment setup · Innovation council launch</w:t>
            </w:r>
          </w:p>
        </w:tc>
        <w:tc>
          <w:tcPr>
            <w:tcW w:type="dxa" w:w="262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Dashboards live; baselines locked</w:t>
            </w:r>
          </w:p>
        </w:tc>
      </w:tr>
      <w:tr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1
Ignite</w:t>
            </w:r>
          </w:p>
        </w:tc>
        <w:tc>
          <w:tcPr>
            <w:tcW w:type="dxa" w:w="1123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Mth 1–3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AIOps live · P3/P4 self-heal pilots · GenAI QE framework · Quick-win automations · Integration Hub design</w:t>
            </w:r>
          </w:p>
        </w:tc>
        <w:tc>
          <w:tcPr>
            <w:tcW w:type="dxa" w:w="262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First cost takeout signals; MTTR −20%</w:t>
            </w:r>
          </w:p>
        </w:tc>
      </w:tr>
      <w:tr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2
Scale</w:t>
            </w:r>
          </w:p>
        </w:tc>
        <w:tc>
          <w:tcPr>
            <w:tcW w:type="dxa" w:w="1123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Mth 3–6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Agentic triage at scale · Integration Hub Wave 1 · QE coverage 50%+ · DataOps monitoring · Mainframe API-wrap</w:t>
            </w:r>
          </w:p>
        </w:tc>
        <w:tc>
          <w:tcPr>
            <w:tcW w:type="dxa" w:w="262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Auto-resolve &gt;50%; coverage milestone</w:t>
            </w:r>
          </w:p>
        </w:tc>
      </w:tr>
      <w:tr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3
Optimize</w:t>
            </w:r>
          </w:p>
        </w:tc>
        <w:tc>
          <w:tcPr>
            <w:tcW w:type="dxa" w:w="1123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Mth 6–12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Autonomous ops for common patterns · QE 75%+ · Continuous modernization sprints · Outcome governance reporting</w:t>
            </w:r>
          </w:p>
        </w:tc>
        <w:tc>
          <w:tcPr>
            <w:tcW w:type="dxa" w:w="262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Cost takeout $4–7M; availability 99.9%</w:t>
            </w:r>
          </w:p>
        </w:tc>
      </w:tr>
      <w:tr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4
Transform</w:t>
            </w:r>
          </w:p>
        </w:tc>
        <w:tc>
          <w:tcPr>
            <w:tcW w:type="dxa" w:w="1123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Yr 1–2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Full autonomy estate · Mainframe rehost/refactor · Enterprise observability · DataOps maturity · Co-invest pipeline</w:t>
            </w:r>
          </w:p>
        </w:tc>
        <w:tc>
          <w:tcPr>
            <w:tcW w:type="dxa" w:w="262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Structural cost takeout 40–50%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Value Realization — Cumulative Cost Takeout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Month 3   (Ignite complete)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  <w:shd w:fill="0072C3" w:val="solid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224"/>
            <w:tcBorders>
              <w:top w:val="none"/>
              <w:left w:val="none"/>
              <w:bottom w:val="none"/>
              <w:right w:val="none"/>
            </w:tcBorders>
            <w:shd w:fill="DFE3E6" w:val="solid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19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72C3"/>
                <w:sz w:val="18"/>
                <w:szCs w:val="18"/>
              </w:rPr>
              <w:t xml:space="preserve">$1.2–2.0M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Month 6   (Scale complete)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  <w:shd w:fill="0043CE" w:val="solid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shd w:fill="DFE3E6" w:val="solid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19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43CE"/>
                <w:sz w:val="18"/>
                <w:szCs w:val="18"/>
              </w:rPr>
              <w:t xml:space="preserve">$3.0–5.0M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Month 12  (Optimize complete)</w:t>
            </w:r>
          </w:p>
        </w:tc>
        <w:tc>
          <w:tcPr>
            <w:tcW w:type="dxa" w:w="2880"/>
            <w:tcBorders>
              <w:top w:val="none"/>
              <w:left w:val="none"/>
              <w:bottom w:val="none"/>
              <w:right w:val="none"/>
            </w:tcBorders>
            <w:shd w:fill="0F62FE" w:val="solid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1920"/>
            <w:tcBorders>
              <w:top w:val="none"/>
              <w:left w:val="none"/>
              <w:bottom w:val="none"/>
              <w:right w:val="none"/>
            </w:tcBorders>
            <w:shd w:fill="DFE3E6" w:val="solid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19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$6.0–10.0M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Month 24  (Transform complete)</w:t>
            </w:r>
          </w:p>
        </w:tc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  <w:shd w:fill="001141" w:val="solid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tcBorders>
              <w:top w:val="none"/>
              <w:left w:val="none"/>
              <w:bottom w:val="none"/>
              <w:right w:val="none"/>
            </w:tcBorders>
            <w:shd w:fill="DFE3E6" w:val="solid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19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$12–18M+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6"/>
          <w:szCs w:val="16"/>
        </w:rPr>
        <w:t xml:space="preserve">All values are directional. Baselines confirmed in Phase 0. Monthly reporting tracks actuals vs. targets.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KPI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059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Value Area</w:t>
            </w:r>
          </w:p>
        </w:tc>
        <w:tc>
          <w:tcPr>
            <w:tcW w:type="dxa" w:w="3556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KPIs Tracked</w:t>
            </w:r>
          </w:p>
        </w:tc>
        <w:tc>
          <w:tcPr>
            <w:tcW w:type="dxa" w:w="2246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01141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497"/>
            <w:tcBorders>
              <w:top w:val="single" w:color="0F62FE" w:sz="2"/>
              <w:left w:val="single" w:color="0F62FE" w:sz="2"/>
              <w:bottom w:val="single" w:color="0F62FE" w:sz="2"/>
              <w:right w:val="single" w:color="0F62FE" w:sz="2"/>
            </w:tcBorders>
            <w:shd w:fill="0F62FE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Cadence</w:t>
            </w:r>
          </w:p>
        </w:tc>
      </w:tr>
      <w:tr>
        <w:tc>
          <w:tcPr>
            <w:tcW w:type="dxa" w:w="205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Operational Excellence</w:t>
            </w:r>
          </w:p>
        </w:tc>
        <w:tc>
          <w:tcPr>
            <w:tcW w:type="dxa" w:w="355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MTTR, availability, incident volume, auto-resolution %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ITSM + AIOps telemetry</w:t>
            </w:r>
          </w:p>
        </w:tc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Weekly</w:t>
            </w:r>
          </w:p>
        </w:tc>
      </w:tr>
      <w:tr>
        <w:tc>
          <w:tcPr>
            <w:tcW w:type="dxa" w:w="205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Cost Takeout</w:t>
            </w:r>
          </w:p>
        </w:tc>
        <w:tc>
          <w:tcPr>
            <w:tcW w:type="dxa" w:w="355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Automation ROI, demand reduction, ticket economics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Finance + ITSM</w:t>
            </w:r>
          </w:p>
        </w:tc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Monthly</w:t>
            </w:r>
          </w:p>
        </w:tc>
      </w:tr>
      <w:tr>
        <w:tc>
          <w:tcPr>
            <w:tcW w:type="dxa" w:w="205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Quality Engineering</w:t>
            </w:r>
          </w:p>
        </w:tc>
        <w:tc>
          <w:tcPr>
            <w:tcW w:type="dxa" w:w="355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Coverage, defect escape, regression time, MTTD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QE toolchain + CI/CD</w:t>
            </w:r>
          </w:p>
        </w:tc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Sprint</w:t>
            </w:r>
          </w:p>
        </w:tc>
      </w:tr>
      <w:tr>
        <w:tc>
          <w:tcPr>
            <w:tcW w:type="dxa" w:w="205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Modernization</w:t>
            </w:r>
          </w:p>
        </w:tc>
        <w:tc>
          <w:tcPr>
            <w:tcW w:type="dxa" w:w="355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n-1 compliance, debt index, upgrade velocity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CMDB + sec scans</w:t>
            </w:r>
          </w:p>
        </w:tc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Monthly</w:t>
            </w:r>
          </w:p>
        </w:tc>
      </w:tr>
      <w:tr>
        <w:tc>
          <w:tcPr>
            <w:tcW w:type="dxa" w:w="205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Business Outcomes</w:t>
            </w:r>
          </w:p>
        </w:tc>
        <w:tc>
          <w:tcPr>
            <w:tcW w:type="dxa" w:w="355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7"/>
                <w:szCs w:val="17"/>
              </w:rPr>
              <w:t xml:space="preserve">Claims cycle, enrollment time, FCR, ASA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Domain dashboards</w:t>
            </w:r>
          </w:p>
        </w:tc>
        <w:tc>
          <w:tcPr>
            <w:tcW w:type="dxa" w:w="1497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D0E2FF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Monthly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6" w:space="6"/>
        </w:pBdr>
        <w:spacing w:after="0" w:before="24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9.0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7"/>
          <w:szCs w:val="27"/>
        </w:rPr>
        <w:t xml:space="preserve">WHY IBM — AND WHY NOW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20"/>
          <w:szCs w:val="20"/>
        </w:rPr>
        <w:t xml:space="preserve">   The only partner with the assets, depth, and accountability to deliver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20,000+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AI &amp; Data Practitioners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dedicated globally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81,000+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Cloud &amp; Architecture Experts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across IBM Consulting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40,000+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AI/Analytics Engagements Delivered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client deployments</w:t>
            </w:r>
          </w:p>
        </w:tc>
        <w:tc>
          <w:tcPr>
            <w:tcBorders>
              <w:top w:val="single" w:color="0F62FE" w:sz="10"/>
              <w:left w:val="single" w:color="E0E0E0" w:sz="2"/>
              <w:bottom w:val="none"/>
              <w:right w:val="single" w:color="E0E0E0" w:sz="2"/>
            </w:tcBorders>
            <w:shd w:fill="D0E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4"/>
                <w:szCs w:val="44"/>
              </w:rPr>
              <w:t xml:space="preserve">9 of 10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7"/>
                <w:szCs w:val="17"/>
              </w:rPr>
              <w:t xml:space="preserve">Healthcare Clients Served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5"/>
                <w:szCs w:val="15"/>
              </w:rPr>
              <w:t xml:space="preserve">top US payers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IBM Differentiators — No Other Vendor Offers This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Production-Grade Assets, Day 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AIOps, ICA, CareOps360, IBM Consulting Advantage, and GenAI quality tools are live in production — not promised in a roadmap.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Deep Horizon Knowledge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brings institutional knowledge of Horizon's application estate, processes, and change history — reducing transition risk to near-zero.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Healthcare Payer DNA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Claims adjudication, enrollment, prior auth, member services — IBM has modernized these domains for the nation's largest payers.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Outcome-Based Accountability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commits to SLAs tied to business outcomes. If targets are missed, IBM remediation plans are triggered — not negotiated.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Co-Investment Commitment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shares transformation risk. Innovation sprints, tooling, and accelerators are embedded at no incremental cost.</w:t>
            </w:r>
          </w:p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IBM vs. The Alternative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49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01141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Dimension</w:t>
                  </w:r>
                </w:p>
              </w:tc>
              <w:tc>
                <w:tcPr>
                  <w:tcW w:type="dxa" w:w="149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525252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Status Quo / Others</w:t>
                  </w:r>
                </w:p>
              </w:tc>
              <w:tc>
                <w:tcPr>
                  <w:tcW w:type="dxa" w:w="1498"/>
                  <w:tcBorders>
                    <w:top w:val="single" w:color="0F62FE" w:sz="2"/>
                    <w:left w:val="single" w:color="0F62FE" w:sz="2"/>
                    <w:bottom w:val="single" w:color="0F62FE" w:sz="2"/>
                    <w:right w:val="single" w:color="0F62FE" w:sz="2"/>
                  </w:tcBorders>
                  <w:shd w:fill="0F62FE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9"/>
                      <w:szCs w:val="19"/>
                    </w:rPr>
                    <w:t xml:space="preserve">IBM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Operating model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Tower-based, reactive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Product pods, AI-first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Automation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Bolt-on tools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Embedded, AI-driven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Quality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End-of-sprint testing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Shift-left, GenAI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Innovation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Separate programme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Built into steady-state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Reporting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Activity metrics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Business outcomes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7"/>
                      <w:szCs w:val="17"/>
                    </w:rPr>
                    <w:t xml:space="preserve">Risk model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7"/>
                      <w:szCs w:val="17"/>
                    </w:rPr>
                    <w:t xml:space="preserve">IBM bears none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7"/>
                      <w:szCs w:val="17"/>
                    </w:rPr>
                    <w:t xml:space="preserve">Shared; outcome SLAs</w:t>
                  </w:r>
                </w:p>
              </w:tc>
            </w:tr>
          </w:tbl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Next Step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1–2: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Executive alignment session — Horizon leadership + IBM account team.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2–4: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Phase 0 scoping: baseline discovery, telemetry onboarding, and innovation council launch.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Contractual milestone: Phase 0 SOW execution and onboarding begins.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pBdr>
          <w:bottom w:val="single" w:color="0F62FE" w:sz="10" w:space="3"/>
        </w:pBdr>
        <w:spacing w:after="100" w:before="100"/>
      </w:pP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80" w:before="80"/>
        <w:ind w:left="431" w:right="431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61616"/>
          <w:sz w:val="22"/>
          <w:szCs w:val="22"/>
        </w:rPr>
        <w:t xml:space="preserve">“IBM’s measure of success is not tickets closed, incidents resolved, or tests run — it is </w:t>
      </w:r>
      <w:r>
        <w:rPr>
          <w:rFonts w:ascii="Calibri" w:cs="Calibri" w:eastAsia="Calibri" w:hAnsi="Calibri"/>
          <w:b/>
          <w:bCs/>
          <w:i/>
          <w:iCs/>
          <w:caps w:val="false"/>
          <w:color w:val="001141"/>
          <w:sz w:val="22"/>
          <w:szCs w:val="22"/>
        </w:rPr>
        <w:t xml:space="preserve">business outcomes delivered and sustained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61616"/>
          <w:sz w:val="22"/>
          <w:szCs w:val="22"/>
        </w:rPr>
        <w:t xml:space="preserve">. Horizon’s members, providers, and leadership will feel the difference. That is the only outcome that matters.”</w:t>
      </w:r>
    </w:p>
    <w:p>
      <w:pPr>
        <w:spacing w:after="20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9"/>
          <w:szCs w:val="19"/>
        </w:rPr>
        <w:t xml:space="preserve">— IBM Consulting, Healthcare &amp; Payer Delivery  |  April 2026</w:t>
      </w:r>
    </w:p>
    <w:p>
      <w:pPr>
        <w:pBdr>
          <w:bottom w:val="single" w:color="E0E0E0" w:sz="2" w:space="3"/>
        </w:pBdr>
        <w:spacing w:after="80" w:before="80"/>
      </w:pPr>
    </w:p>
    <w:p>
      <w:pPr>
        <w:spacing w:after="4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Services.  Ref: IBM-HZN-AMS-RFP-2026-CAS</w:t>
      </w:r>
    </w:p>
    <w:sectPr>
      <w:headerReference w:type="default" r:id="rId7"/>
      <w:footerReference w:type="default" r:id="rId8"/>
      <w:pgSz w:w="11906" w:h="16838" w:orient="portrait"/>
      <w:pgMar w:top="1224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0F62FE"/>
        <w:sz w:val="15"/>
        <w:szCs w:val="15"/>
      </w:rPr>
      <w:t xml:space="preserve">CareOps360 · IBM AIOps · IBM Consulting Advantage · ICA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aps/>
        <w:color w:val="8D8D8D"/>
        <w:sz w:val="15"/>
        <w:szCs w:val="15"/>
      </w:rPr>
      <w:t xml:space="preserve">IBM × HORIZON BCBS  |  AMS TRANSFORMATION EXECUTIVE SUMMARY</w:t>
    </w:r>
    <w:r>
      <w:rPr>
        <w:rFonts w:ascii="Calibri" w:cs="Calibri" w:eastAsia="Calibri" w:hAnsi="Calibri"/>
        <w:b/>
        <w:bCs/>
        <w:i w:val="false"/>
        <w:iCs w:val="false"/>
        <w:caps w:val="false"/>
        <w:color w:val="0F62FE"/>
        <w:sz w:val="15"/>
        <w:szCs w:val="15"/>
      </w:rPr>
      <w:t xml:space="preserve">   —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AMS Transformation Executive Summary</dc:title>
  <dc:creator>IBM Consulting</dc:creator>
  <dc:description>Confidential — April 2026</dc:description>
  <cp:lastModifiedBy>Un-named</cp:lastModifiedBy>
  <cp:revision>1</cp:revision>
  <dcterms:created xsi:type="dcterms:W3CDTF">2026-04-16T03:42:47.247Z</dcterms:created>
  <dcterms:modified xsi:type="dcterms:W3CDTF">2026-04-16T03:42:47.247Z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