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footer+xml" PartName="/word/footer16.xml"/>
  <Override ContentType="application/vnd.openxmlformats-officedocument.wordprocessingml.header+xml" PartName="/word/header17.xml"/>
  <Override ContentType="application/vnd.openxmlformats-officedocument.wordprocessingml.footer+xml" PartName="/word/footer17.xml"/>
  <Override ContentType="application/vnd.openxmlformats-officedocument.wordprocessingml.header+xml" PartName="/word/header18.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footer+xml" PartName="/word/footer19.xml"/>
  <Override ContentType="application/vnd.openxmlformats-officedocument.wordprocessingml.header+xml" PartName="/word/header20.xml"/>
  <Override ContentType="application/vnd.openxmlformats-officedocument.wordprocessingml.footer+xml" PartName="/word/footer20.xml"/>
  <Override ContentType="application/vnd.openxmlformats-officedocument.wordprocessingml.header+xml" PartName="/word/header21.xml"/>
  <Override ContentType="application/vnd.openxmlformats-officedocument.wordprocessingml.footer+xml" PartName="/word/footer21.xml"/>
  <Override ContentType="application/vnd.openxmlformats-officedocument.wordprocessingml.header+xml" PartName="/word/header22.xml"/>
  <Override ContentType="application/vnd.openxmlformats-officedocument.wordprocessingml.footer+xml" PartName="/word/footer22.xml"/>
  <Override ContentType="application/vnd.openxmlformats-officedocument.wordprocessingml.header+xml" PartName="/word/header23.xml"/>
  <Override ContentType="application/vnd.openxmlformats-officedocument.wordprocessingml.footer+xml" PartName="/word/footer23.xml"/>
  <Override ContentType="application/vnd.openxmlformats-officedocument.wordprocessingml.header+xml" PartName="/word/header24.xml"/>
  <Override ContentType="application/vnd.openxmlformats-officedocument.wordprocessingml.footer+xml" PartName="/word/footer24.xml"/>
  <Override ContentType="application/vnd.openxmlformats-officedocument.wordprocessingml.header+xml" PartName="/word/header25.xml"/>
  <Override ContentType="application/vnd.openxmlformats-officedocument.wordprocessingml.footer+xml" PartName="/word/footer2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001141" w:val="clear"/>
        <w:spacing w:after="240" w:before="240"/>
      </w:pPr>
      <w:r>
        <w:rPr>
          <w:rFonts w:ascii="Calibri" w:cs="Calibri" w:eastAsia="Calibri" w:hAnsi="Calibri"/>
          <w:b/>
          <w:bCs/>
          <w:i w:val="false"/>
          <w:iCs w:val="false"/>
          <w:color w:val="FFFFFF"/>
          <w:sz w:val="17"/>
          <w:szCs w:val="17"/>
        </w:rPr>
        <w:t xml:space="preserve">  IBM CONSULTING   |   HEALTHCARE &amp; PAYER DELIVERY   |   AMS PRACTICE</w:t>
      </w:r>
    </w:p>
    <w:p>
      <w:pPr>
        <w:shd w:fill="0F62FE" w:val="clear"/>
        <w:spacing w:after="40" w:before="0"/>
      </w:pPr>
    </w:p>
    <w:p>
      <w:pPr>
        <w:spacing w:after="800" w:before="0"/>
      </w:pPr>
      <w:r>
        <w:rPr>
          <w:rFonts w:ascii="Calibri" w:cs="Calibri" w:eastAsia="Calibri" w:hAnsi="Calibri"/>
          <w:sz w:val="8"/>
          <w:szCs w:val="8"/>
        </w:rPr>
        <w:t xml:space="preserve"/>
      </w:r>
    </w:p>
    <w:p>
      <w:pPr>
        <w:spacing w:after="120" w:before="0"/>
        <w:ind w:left="1100" w:right="0"/>
      </w:pPr>
      <w:r>
        <w:rPr>
          <w:rFonts w:ascii="Calibri" w:cs="Calibri" w:eastAsia="Calibri" w:hAnsi="Calibri"/>
          <w:b/>
          <w:bCs/>
          <w:i w:val="false"/>
          <w:iCs w:val="false"/>
          <w:color w:val="0F62FE"/>
          <w:sz w:val="44"/>
          <w:szCs w:val="44"/>
        </w:rPr>
        <w:t xml:space="preserve">AI-FIRST  ·  AGENTIC BY CORE</w:t>
      </w:r>
    </w:p>
    <w:p>
      <w:pPr>
        <w:spacing w:after="0" w:before="0"/>
        <w:ind w:left="1584"/>
      </w:pPr>
      <w:r>
        <w:rPr>
          <w:rFonts w:ascii="Calibri" w:cs="Calibri" w:eastAsia="Calibri" w:hAnsi="Calibri"/>
          <w:b/>
          <w:bCs/>
          <w:i w:val="false"/>
          <w:iCs w:val="false"/>
          <w:color w:val="001141"/>
          <w:sz w:val="72"/>
          <w:szCs w:val="72"/>
        </w:rPr>
        <w:t xml:space="preserve">Application Development,</w:t>
      </w:r>
    </w:p>
    <w:p>
      <w:pPr>
        <w:spacing w:after="0" w:before="0"/>
        <w:ind w:left="1584"/>
      </w:pPr>
      <w:r>
        <w:rPr>
          <w:rFonts w:ascii="Calibri" w:cs="Calibri" w:eastAsia="Calibri" w:hAnsi="Calibri"/>
          <w:b/>
          <w:bCs/>
          <w:i w:val="false"/>
          <w:iCs w:val="false"/>
          <w:color w:val="001141"/>
          <w:sz w:val="72"/>
          <w:szCs w:val="72"/>
        </w:rPr>
        <w:t xml:space="preserve">Maintenance &amp;</w:t>
      </w:r>
    </w:p>
    <w:p>
      <w:pPr>
        <w:spacing w:after="200" w:before="0"/>
        <w:ind w:left="1584"/>
      </w:pPr>
      <w:r>
        <w:rPr>
          <w:rFonts w:ascii="Calibri" w:cs="Calibri" w:eastAsia="Calibri" w:hAnsi="Calibri"/>
          <w:b/>
          <w:bCs/>
          <w:i w:val="false"/>
          <w:iCs w:val="false"/>
          <w:color w:val="0F62FE"/>
          <w:sz w:val="72"/>
          <w:szCs w:val="72"/>
        </w:rPr>
        <w:t xml:space="preserve">Quality Engineering</w:t>
      </w:r>
    </w:p>
    <w:p>
      <w:pPr>
        <w:spacing w:after="80" w:before="0"/>
        <w:ind w:left="1100" w:right="0"/>
      </w:pPr>
      <w:r>
        <w:rPr>
          <w:rFonts w:ascii="Calibri" w:cs="Calibri" w:eastAsia="Calibri" w:hAnsi="Calibri"/>
          <w:b w:val="false"/>
          <w:bCs w:val="false"/>
          <w:i/>
          <w:iCs/>
          <w:color w:val="8D8D8D"/>
          <w:sz w:val="26"/>
          <w:szCs w:val="26"/>
        </w:rPr>
        <w:t xml:space="preserve">An Executive Summary for Horizon BCBS Leadership</w:t>
      </w:r>
    </w:p>
    <w:p>
      <w:pPr>
        <w:spacing w:after="600" w:before="0"/>
        <w:ind w:left="1100" w:right="0"/>
      </w:pPr>
      <w:r>
        <w:rPr>
          <w:rFonts w:ascii="Calibri" w:cs="Calibri" w:eastAsia="Calibri" w:hAnsi="Calibri"/>
          <w:b w:val="false"/>
          <w:bCs w:val="false"/>
          <w:i/>
          <w:iCs/>
          <w:color w:val="525252"/>
          <w:sz w:val="22"/>
          <w:szCs w:val="22"/>
        </w:rPr>
        <w:t xml:space="preserve">Where Every Line of Code, Every Test, and Every Resolved Incident
Is Measured by the Member It Serves</w:t>
      </w:r>
    </w:p>
    <w:p>
      <w:pPr>
        <w:spacing w:after="80" w:before="80"/>
        <w:ind w:left="1584"/>
      </w:pPr>
      <w:r>
        <w:rPr>
          <w:rFonts w:ascii="Calibri" w:cs="Calibri" w:eastAsia="Calibri" w:hAnsi="Calibri"/>
          <w:b/>
          <w:bCs/>
          <w:i w:val="false"/>
          <w:iCs w:val="false"/>
          <w:color w:val="001141"/>
          <w:sz w:val="19"/>
          <w:szCs w:val="19"/>
        </w:rPr>
        <w:t xml:space="preserve">Submitted by: </w:t>
      </w:r>
      <w:r>
        <w:rPr>
          <w:rFonts w:ascii="Calibri" w:cs="Calibri" w:eastAsia="Calibri" w:hAnsi="Calibri"/>
          <w:b w:val="false"/>
          <w:bCs w:val="false"/>
          <w:i w:val="false"/>
          <w:iCs w:val="false"/>
          <w:color w:val="525252"/>
          <w:sz w:val="19"/>
          <w:szCs w:val="19"/>
        </w:rPr>
        <w:t xml:space="preserve">IBM Consulting — Healthcare &amp; Payer Delivery          </w:t>
      </w:r>
      <w:r>
        <w:rPr>
          <w:rFonts w:ascii="Calibri" w:cs="Calibri" w:eastAsia="Calibri" w:hAnsi="Calibri"/>
          <w:b/>
          <w:bCs/>
          <w:i w:val="false"/>
          <w:iCs w:val="false"/>
          <w:color w:val="001141"/>
          <w:sz w:val="19"/>
          <w:szCs w:val="19"/>
        </w:rPr>
        <w:t xml:space="preserve">Submitted to: </w:t>
      </w:r>
      <w:r>
        <w:rPr>
          <w:rFonts w:ascii="Calibri" w:cs="Calibri" w:eastAsia="Calibri" w:hAnsi="Calibri"/>
          <w:b w:val="false"/>
          <w:bCs w:val="false"/>
          <w:i w:val="false"/>
          <w:iCs w:val="false"/>
          <w:color w:val="525252"/>
          <w:sz w:val="19"/>
          <w:szCs w:val="19"/>
        </w:rPr>
        <w:t xml:space="preserve">Horizon BCBS — Executive Leadership &amp; Technology Office</w:t>
      </w:r>
    </w:p>
    <w:p>
      <w:pPr>
        <w:spacing w:after="80" w:before="0"/>
      </w:pPr>
      <w:r>
        <w:rPr>
          <w:rFonts w:ascii="Calibri" w:cs="Calibri" w:eastAsia="Calibri" w:hAnsi="Calibri"/>
          <w:sz w:val="8"/>
          <w:szCs w:val="8"/>
        </w:rPr>
        <w:t xml:space="preserve"/>
      </w:r>
    </w:p>
    <w:p>
      <w:pPr>
        <w:spacing w:after="0" w:before="0"/>
        <w:ind w:left="1100" w:right="0"/>
      </w:pPr>
      <w:r>
        <w:rPr>
          <w:rFonts w:ascii="Calibri" w:cs="Calibri" w:eastAsia="Calibri" w:hAnsi="Calibri"/>
          <w:b w:val="false"/>
          <w:bCs w:val="false"/>
          <w:i w:val="false"/>
          <w:iCs w:val="false"/>
          <w:color w:val="8D8D8D"/>
          <w:sz w:val="18"/>
          <w:szCs w:val="18"/>
        </w:rPr>
        <w:t xml:space="preserve">Confidential  |  April 2026  |  Ref: IBM-HZN-AMS-RFP-2026-CAS</w:t>
      </w:r>
    </w:p>
    <w:p>
      <w:pPr>
        <w:spacing w:after="840" w:before="0"/>
      </w:pPr>
      <w:r>
        <w:rPr>
          <w:rFonts w:ascii="Calibri" w:cs="Calibri" w:eastAsia="Calibri" w:hAnsi="Calibri"/>
          <w:sz w:val="8"/>
          <w:szCs w:val="8"/>
        </w:rPr>
        <w:t xml:space="preserve"/>
      </w:r>
    </w:p>
    <w:p>
      <w:pPr>
        <w:shd w:fill="001141" w:val="clear"/>
        <w:spacing w:after="80" w:before="80"/>
      </w:pPr>
      <w:r>
        <w:rPr>
          <w:rFonts w:ascii="Calibri" w:cs="Calibri" w:eastAsia="Calibri" w:hAnsi="Calibri"/>
          <w:b w:val="false"/>
          <w:bCs w:val="false"/>
          <w:i w:val="false"/>
          <w:iCs w:val="false"/>
          <w:color w:val="FFFFFF"/>
          <w:sz w:val="16"/>
          <w:szCs w:val="16"/>
        </w:rPr>
        <w:t xml:space="preserve">  Powered by CareOps360  ·  IBM AIOps  ·  IBM Consulting Advantage  ·  HIPAA Compliant  ·  © 2026 IBM Corporation</w:t>
      </w:r>
    </w:p>
    <w:p>
      <w:pPr>
        <w:sectPr>
          <w:pgSz w:w="11906" w:h="16838" w:orient="portrait"/>
          <w:pgMar w:top="0" w:right="0" w:bottom="0" w:left="0" w:header="708" w:footer="708" w:gutter="0"/>
          <w:pgNumType/>
          <w:docGrid w:linePitch="360"/>
        </w:sectPr>
      </w:pPr>
    </w:p>
    <w:p>
      <w:pPr>
        <w:pBdr>
          <w:top w:val="single" w:color="0F62FE" w:sz="18" w:space="8"/>
        </w:pBdr>
        <w:spacing w:after="60" w:before="0"/>
      </w:pPr>
    </w:p>
    <w:p>
      <w:pPr>
        <w:spacing w:after="40" w:before="0"/>
      </w:pPr>
      <w:r>
        <w:rPr>
          <w:rFonts w:ascii="Calibri" w:cs="Calibri" w:eastAsia="Calibri" w:hAnsi="Calibri"/>
          <w:b/>
          <w:bCs/>
          <w:i w:val="false"/>
          <w:iCs w:val="false"/>
          <w:color w:val="0F62FE"/>
          <w:sz w:val="18"/>
          <w:szCs w:val="18"/>
        </w:rPr>
        <w:t xml:space="preserve">01  </w:t>
      </w:r>
      <w:r>
        <w:rPr>
          <w:rFonts w:ascii="Calibri" w:cs="Calibri" w:eastAsia="Calibri" w:hAnsi="Calibri"/>
          <w:b/>
          <w:bCs/>
          <w:i w:val="false"/>
          <w:iCs w:val="false"/>
          <w:color w:val="001141"/>
          <w:sz w:val="32"/>
          <w:szCs w:val="32"/>
        </w:rPr>
        <w:t xml:space="preserve">Executive Summary</w:t>
      </w:r>
    </w:p>
    <w:p>
      <w:pPr>
        <w:spacing w:after="120" w:before="0"/>
      </w:pPr>
      <w:r>
        <w:rPr>
          <w:rFonts w:ascii="Calibri" w:cs="Calibri" w:eastAsia="Calibri" w:hAnsi="Calibri"/>
          <w:b w:val="false"/>
          <w:bCs w:val="false"/>
          <w:i/>
          <w:iCs/>
          <w:color w:val="8D8D8D"/>
          <w:sz w:val="19"/>
          <w:szCs w:val="19"/>
        </w:rPr>
        <w:t xml:space="preserve">AI-First, Member-Centred Transformation of Application Management Services</w:t>
      </w:r>
    </w:p>
    <w:p>
      <w:pPr>
        <w:spacing w:after="60" w:before="0"/>
      </w:pPr>
      <w:r>
        <w:rPr>
          <w:rFonts w:ascii="Calibri" w:cs="Calibri" w:eastAsia="Calibri" w:hAnsi="Calibri"/>
          <w:sz w:val="8"/>
          <w:szCs w:val="8"/>
        </w:rPr>
        <w:t xml:space="preserve"/>
      </w:r>
    </w:p>
    <w:p>
      <w:pPr>
        <w:pBdr>
          <w:left w:val="single" w:color="0F62FE" w:sz="18" w:space="10"/>
        </w:pBdr>
        <w:spacing w:after="20" w:before="40"/>
        <w:ind w:left="504"/>
      </w:pPr>
      <w:r>
        <w:rPr>
          <w:rFonts w:ascii="Calibri" w:cs="Calibri" w:eastAsia="Calibri" w:hAnsi="Calibri"/>
          <w:b w:val="false"/>
          <w:bCs w:val="false"/>
          <w:i/>
          <w:iCs/>
          <w:color w:val="001141"/>
          <w:sz w:val="21"/>
          <w:szCs w:val="21"/>
        </w:rPr>
        <w:t xml:space="preserve">“A mother enrolling her newborn should not wait five days because two systems failed to sync. A provider submitting a prior auth should not chase a fax. IBM is here to make those moments disappear.”</w:t>
      </w:r>
    </w:p>
    <w:p>
      <w:pPr>
        <w:spacing w:after="100" w:before="0"/>
        <w:jc w:val="right"/>
      </w:pPr>
      <w:r>
        <w:rPr>
          <w:rFonts w:ascii="Calibri" w:cs="Calibri" w:eastAsia="Calibri" w:hAnsi="Calibri"/>
          <w:b/>
          <w:bCs/>
          <w:i w:val="false"/>
          <w:iCs w:val="false"/>
          <w:color w:val="0F62FE"/>
          <w:sz w:val="17"/>
          <w:szCs w:val="17"/>
        </w:rPr>
        <w:t xml:space="preserve">— IBM Consulting, Healthcare &amp; Payer Delivery</w:t>
      </w:r>
    </w:p>
    <w:p>
      <w:pPr>
        <w:sectPr>
          <w:headerReference w:type="default" r:id="rId7"/>
          <w:footerReference w:type="default" r:id="rId8"/>
          <w:type w:val="nextPage"/>
          <w:pgSz w:w="11906" w:h="16838" w:orient="portrait"/>
          <w:pgMar w:top="1152" w:right="1296" w:bottom="936" w:left="1296" w:header="708" w:footer="708" w:gutter="0"/>
          <w:pgNumType/>
          <w:cols w:num="1"/>
          <w:docGrid w:linePitch="360"/>
        </w:sectPr>
      </w:pPr>
    </w:p>
    <w:p>
      <w:pPr>
        <w:spacing w:after="60" w:before="40"/>
      </w:pPr>
      <w:r>
        <w:rPr>
          <w:rFonts w:ascii="Calibri" w:cs="Calibri" w:eastAsia="Calibri" w:hAnsi="Calibri"/>
          <w:b/>
          <w:bCs/>
          <w:i w:val="false"/>
          <w:iCs w:val="false"/>
          <w:color w:val="001141"/>
          <w:sz w:val="22"/>
          <w:szCs w:val="22"/>
        </w:rPr>
        <w:t xml:space="preserve">The Moment</w:t>
      </w:r>
    </w:p>
    <w:p>
      <w:pPr>
        <w:spacing w:after="80" w:before="0"/>
      </w:pPr>
      <w:r>
        <w:rPr>
          <w:rFonts w:ascii="Calibri" w:cs="Calibri" w:eastAsia="Calibri" w:hAnsi="Calibri"/>
          <w:b w:val="false"/>
          <w:bCs w:val="false"/>
          <w:i w:val="false"/>
          <w:iCs w:val="false"/>
          <w:color w:val="525252"/>
          <w:sz w:val="20"/>
          <w:szCs w:val="20"/>
        </w:rPr>
        <w:t xml:space="preserve">Horizon BCBS manages ~1,000 applications spanning enrollment, claims, member services, provider operations, and data platforms. The incumbent model — reactive, labor-intensive, fragmented — cannot meet Horizon’s growth objectives or the expectations of its 3.7 million members.</w:t>
      </w:r>
    </w:p>
    <w:p>
      <w:pPr>
        <w:spacing w:after="80" w:before="0"/>
      </w:pPr>
      <w:r>
        <w:rPr>
          <w:rFonts w:ascii="Calibri" w:cs="Calibri" w:eastAsia="Calibri" w:hAnsi="Calibri"/>
          <w:b w:val="false"/>
          <w:bCs w:val="false"/>
          <w:i w:val="false"/>
          <w:iCs w:val="false"/>
          <w:color w:val="525252"/>
          <w:sz w:val="20"/>
          <w:szCs w:val="20"/>
        </w:rPr>
        <w:t xml:space="preserve">Horizon needs a fundamentally different operating model — one where AI is the engine, quality is continuous, delivery is zero-touch, and every metric connects to a member, a provider, or a patient.</w:t>
      </w:r>
    </w:p>
    <w:p>
      <w:pPr>
        <w:spacing w:after="60" w:before="80"/>
      </w:pPr>
      <w:r>
        <w:rPr>
          <w:rFonts w:ascii="Calibri" w:cs="Calibri" w:eastAsia="Calibri" w:hAnsi="Calibri"/>
          <w:b/>
          <w:bCs/>
          <w:i w:val="false"/>
          <w:iCs w:val="false"/>
          <w:color w:val="001141"/>
          <w:sz w:val="22"/>
          <w:szCs w:val="22"/>
        </w:rPr>
        <w:t xml:space="preserve">What IBM Proposes</w:t>
      </w:r>
    </w:p>
    <w:p>
      <w:pPr>
        <w:spacing w:after="80" w:before="0"/>
      </w:pPr>
      <w:r>
        <w:rPr>
          <w:rFonts w:ascii="Calibri" w:cs="Calibri" w:eastAsia="Calibri" w:hAnsi="Calibri"/>
          <w:b w:val="false"/>
          <w:bCs w:val="false"/>
          <w:i w:val="false"/>
          <w:iCs w:val="false"/>
          <w:color w:val="525252"/>
          <w:sz w:val="20"/>
          <w:szCs w:val="20"/>
        </w:rPr>
        <w:t xml:space="preserve">A structured transition from reactive support to a predictive, self-healing, AI-first operating model — delivered through IBM’s Assets, Assistants &amp; Accelerators framework and governed through outcome-based accountability.</w:t>
      </w:r>
    </w:p>
    <w:p>
      <w:r>
        <w:rPr>
          <w:rFonts w:ascii="Calibri" w:cs="Calibri" w:eastAsia="Calibri" w:hAnsi="Calibri"/>
          <w:sz w:val="4"/>
          <w:szCs w:val="4"/>
        </w:rPr>
        <w:r>
          <w:br w:type="column"/>
        </w:r>
      </w:r>
    </w:p>
    <w:p>
      <w:pPr>
        <w:spacing w:after="60" w:before="40"/>
      </w:pPr>
      <w:r>
        <w:rPr>
          <w:rFonts w:ascii="Calibri" w:cs="Calibri" w:eastAsia="Calibri" w:hAnsi="Calibri"/>
          <w:b/>
          <w:bCs/>
          <w:i w:val="false"/>
          <w:iCs w:val="false"/>
          <w:color w:val="001141"/>
          <w:sz w:val="22"/>
          <w:szCs w:val="22"/>
        </w:rPr>
        <w:t xml:space="preserve">Five Strategic Commitments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AI-First Operating Model — AI across every layer of dev, quality, and operations. Built in, not bolted on.</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Tech Arbitrage over Labor Arbitrage — Cost compression through automation, not headcount.</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Outcome-Based Delivery — SLAs tied to business outcomes. IBM carries the delivery risk.</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Zero-Disruption Transition — No production disruption. No member impact. No learning curve.</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Agentic by Core — AI agents that detect, triage, diagnose, resolve, and learn autonomously.</w:t>
      </w:r>
    </w:p>
    <w:p>
      <w:pPr>
        <w:spacing w:after="60" w:before="80"/>
      </w:pPr>
      <w:r>
        <w:rPr>
          <w:rFonts w:ascii="Calibri" w:cs="Calibri" w:eastAsia="Calibri" w:hAnsi="Calibri"/>
          <w:b/>
          <w:bCs/>
          <w:i w:val="false"/>
          <w:iCs w:val="false"/>
          <w:color w:val="001141"/>
          <w:sz w:val="22"/>
          <w:szCs w:val="22"/>
        </w:rPr>
        <w:t xml:space="preserve">IBM’s Scale</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20,000+ AI practitioners  ·  81,000+ cloud experts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40,000+ AI engagements  ·  9 of top 10 US health payers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Client-0 AI programme saved IBM ~$3.4B USD</w:t>
      </w:r>
    </w:p>
    <w:p>
      <w:pPr>
        <w:sectPr>
          <w:headerReference w:type="default" r:id="rId9"/>
          <w:footerReference w:type="default" r:id="rId10"/>
          <w:type w:val="continuous"/>
          <w:pgSz w:w="11906" w:h="16838" w:orient="portrait"/>
          <w:pgMar w:top="1152" w:right="1296" w:bottom="936" w:left="1296" w:header="708" w:footer="708" w:gutter="0"/>
          <w:pgNumType/>
          <w:cols w:space="504" w:num="2" w:sep="false"/>
          <w:docGrid w:linePitch="360"/>
        </w:sectPr>
      </w:pPr>
    </w:p>
    <w:p>
      <w:pPr>
        <w:spacing w:after="120" w:before="0"/>
      </w:pPr>
      <w:r>
        <w:rPr>
          <w:rFonts w:ascii="Calibri" w:cs="Calibri" w:eastAsia="Calibri" w:hAnsi="Calibri"/>
          <w:sz w:val="8"/>
          <w:szCs w:val="8"/>
        </w:rPr>
        <w:t xml:space="preserve"/>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tblGrid>
      <w:tr>
        <w:tc>
          <w:tcPr>
            <w:tcW w:type="dxa" w:w="2340"/>
            <w:tcBorders>
              <w:top w:val="single" w:color="0F62FE"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0F62FE"/>
                <w:sz w:val="48"/>
                <w:szCs w:val="48"/>
              </w:rPr>
              <w:t xml:space="preserve">~1,000</w:t>
            </w:r>
          </w:p>
          <w:p>
            <w:pPr>
              <w:spacing w:after="120" w:before="0"/>
              <w:jc w:val="center"/>
            </w:pPr>
            <w:r>
              <w:rPr>
                <w:rFonts w:ascii="Calibri" w:cs="Calibri" w:eastAsia="Calibri" w:hAnsi="Calibri"/>
                <w:b/>
                <w:bCs/>
                <w:i w:val="false"/>
                <w:iCs w:val="false"/>
                <w:color w:val="001141"/>
                <w:sz w:val="17"/>
                <w:szCs w:val="17"/>
              </w:rPr>
              <w:t xml:space="preserve">Applications in Scope</w:t>
            </w:r>
          </w:p>
        </w:tc>
        <w:tc>
          <w:tcPr>
            <w:tcW w:type="dxa" w:w="2340"/>
            <w:tcBorders>
              <w:top w:val="single" w:color="0043CE"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0043CE"/>
                <w:sz w:val="48"/>
                <w:szCs w:val="48"/>
              </w:rPr>
              <w:t xml:space="preserve">Day 1</w:t>
            </w:r>
          </w:p>
          <w:p>
            <w:pPr>
              <w:spacing w:after="120" w:before="0"/>
              <w:jc w:val="center"/>
            </w:pPr>
            <w:r>
              <w:rPr>
                <w:rFonts w:ascii="Calibri" w:cs="Calibri" w:eastAsia="Calibri" w:hAnsi="Calibri"/>
                <w:b/>
                <w:bCs/>
                <w:i w:val="false"/>
                <w:iCs w:val="false"/>
                <w:color w:val="001141"/>
                <w:sz w:val="17"/>
                <w:szCs w:val="17"/>
              </w:rPr>
              <w:t xml:space="preserve">Efficiencies &amp; Cost Takeout</w:t>
            </w:r>
          </w:p>
        </w:tc>
        <w:tc>
          <w:tcPr>
            <w:tcW w:type="dxa" w:w="2340"/>
            <w:tcBorders>
              <w:top w:val="single" w:color="007D79"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007D79"/>
                <w:sz w:val="48"/>
                <w:szCs w:val="48"/>
              </w:rPr>
              <w:t xml:space="preserve">24×7</w:t>
            </w:r>
          </w:p>
          <w:p>
            <w:pPr>
              <w:spacing w:after="120" w:before="0"/>
              <w:jc w:val="center"/>
            </w:pPr>
            <w:r>
              <w:rPr>
                <w:rFonts w:ascii="Calibri" w:cs="Calibri" w:eastAsia="Calibri" w:hAnsi="Calibri"/>
                <w:b/>
                <w:bCs/>
                <w:i w:val="false"/>
                <w:iCs w:val="false"/>
                <w:color w:val="001141"/>
                <w:sz w:val="17"/>
                <w:szCs w:val="17"/>
              </w:rPr>
              <w:t xml:space="preserve">Global AIOps Coverage</w:t>
            </w:r>
          </w:p>
        </w:tc>
        <w:tc>
          <w:tcPr>
            <w:tcW w:type="dxa" w:w="2340"/>
            <w:tcBorders>
              <w:top w:val="single" w:color="6929C4"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6929C4"/>
                <w:sz w:val="48"/>
                <w:szCs w:val="48"/>
              </w:rPr>
              <w:t xml:space="preserve">AI-First</w:t>
            </w:r>
          </w:p>
          <w:p>
            <w:pPr>
              <w:spacing w:after="120" w:before="0"/>
              <w:jc w:val="center"/>
            </w:pPr>
            <w:r>
              <w:rPr>
                <w:rFonts w:ascii="Calibri" w:cs="Calibri" w:eastAsia="Calibri" w:hAnsi="Calibri"/>
                <w:b/>
                <w:bCs/>
                <w:i w:val="false"/>
                <w:iCs w:val="false"/>
                <w:color w:val="001141"/>
                <w:sz w:val="17"/>
                <w:szCs w:val="17"/>
              </w:rPr>
              <w:t xml:space="preserve">Agentic by Core</w:t>
            </w:r>
          </w:p>
        </w:tc>
      </w:tr>
    </w:tbl>
    <w:p>
      <w:pPr>
        <w:sectPr>
          <w:headerReference w:type="default" r:id="rId11"/>
          <w:footerReference w:type="default" r:id="rId12"/>
          <w:type w:val="continuous"/>
          <w:pgSz w:w="11906" w:h="16838" w:orient="portrait"/>
          <w:pgMar w:top="1152" w:right="1296" w:bottom="936" w:left="1296" w:header="708" w:footer="708" w:gutter="0"/>
          <w:pgNumType/>
          <w:cols w:num="1"/>
          <w:docGrid w:linePitch="360"/>
        </w:sectPr>
      </w:pPr>
    </w:p>
    <w:p>
      <w:pPr>
        <w:pBdr>
          <w:top w:val="single" w:color="0F62FE" w:sz="18" w:space="8"/>
        </w:pBdr>
        <w:spacing w:after="60" w:before="0"/>
      </w:pPr>
    </w:p>
    <w:p>
      <w:pPr>
        <w:spacing w:after="40" w:before="0"/>
      </w:pPr>
      <w:r>
        <w:rPr>
          <w:rFonts w:ascii="Calibri" w:cs="Calibri" w:eastAsia="Calibri" w:hAnsi="Calibri"/>
          <w:b/>
          <w:bCs/>
          <w:i w:val="false"/>
          <w:iCs w:val="false"/>
          <w:color w:val="0F62FE"/>
          <w:sz w:val="18"/>
          <w:szCs w:val="18"/>
        </w:rPr>
        <w:t xml:space="preserve">02  </w:t>
      </w:r>
      <w:r>
        <w:rPr>
          <w:rFonts w:ascii="Calibri" w:cs="Calibri" w:eastAsia="Calibri" w:hAnsi="Calibri"/>
          <w:b/>
          <w:bCs/>
          <w:i w:val="false"/>
          <w:iCs w:val="false"/>
          <w:color w:val="001141"/>
          <w:sz w:val="32"/>
          <w:szCs w:val="32"/>
        </w:rPr>
        <w:t xml:space="preserve">The Delivery Imperative</w:t>
      </w:r>
    </w:p>
    <w:p>
      <w:pPr>
        <w:spacing w:after="120" w:before="0"/>
      </w:pPr>
      <w:r>
        <w:rPr>
          <w:rFonts w:ascii="Calibri" w:cs="Calibri" w:eastAsia="Calibri" w:hAnsi="Calibri"/>
          <w:b w:val="false"/>
          <w:bCs w:val="false"/>
          <w:i/>
          <w:iCs/>
          <w:color w:val="8D8D8D"/>
          <w:sz w:val="19"/>
          <w:szCs w:val="19"/>
        </w:rPr>
        <w:t xml:space="preserve">Why Horizon Needs a New Operating Model — and Why Now</w:t>
      </w:r>
    </w:p>
    <w:p>
      <w:pPr>
        <w:spacing w:after="60" w:before="0"/>
      </w:pPr>
      <w:r>
        <w:rPr>
          <w:rFonts w:ascii="Calibri" w:cs="Calibri" w:eastAsia="Calibri" w:hAnsi="Calibri"/>
          <w:sz w:val="8"/>
          <w:szCs w:val="8"/>
        </w:rPr>
        <w:t xml:space="preserve"/>
      </w:r>
    </w:p>
    <w:p>
      <w:pPr>
        <w:pBdr>
          <w:left w:val="single" w:color="0F62FE" w:sz="18" w:space="10"/>
        </w:pBdr>
        <w:spacing w:after="20" w:before="40"/>
        <w:ind w:left="504"/>
      </w:pPr>
      <w:r>
        <w:rPr>
          <w:rFonts w:ascii="Calibri" w:cs="Calibri" w:eastAsia="Calibri" w:hAnsi="Calibri"/>
          <w:b w:val="false"/>
          <w:bCs w:val="false"/>
          <w:i/>
          <w:iCs/>
          <w:color w:val="001141"/>
          <w:sz w:val="21"/>
          <w:szCs w:val="21"/>
        </w:rPr>
        <w:t xml:space="preserve">“The question is not whether Horizon can afford to transform. It is whether Horizon can afford not to — when every delayed claim is a member who loses trust, and every manual process is a cost that compounds.”</w:t>
      </w:r>
    </w:p>
    <w:p>
      <w:pPr>
        <w:spacing w:after="100" w:before="0"/>
        <w:jc w:val="right"/>
      </w:pPr>
      <w:r>
        <w:rPr>
          <w:rFonts w:ascii="Calibri" w:cs="Calibri" w:eastAsia="Calibri" w:hAnsi="Calibri"/>
          <w:b/>
          <w:bCs/>
          <w:i w:val="false"/>
          <w:iCs w:val="false"/>
          <w:color w:val="0F62FE"/>
          <w:sz w:val="17"/>
          <w:szCs w:val="17"/>
        </w:rPr>
        <w:t xml:space="preserve">— IBM Consulting — Payer Strategy</w:t>
      </w:r>
    </w:p>
    <w:p>
      <w:pPr>
        <w:sectPr>
          <w:headerReference w:type="default" r:id="rId13"/>
          <w:footerReference w:type="default" r:id="rId14"/>
          <w:type w:val="nextPage"/>
          <w:pgSz w:w="11906" w:h="16838" w:orient="portrait"/>
          <w:pgMar w:top="1152" w:right="1296" w:bottom="936" w:left="1296" w:header="708" w:footer="708" w:gutter="0"/>
          <w:pgNumType/>
          <w:cols w:num="1"/>
          <w:docGrid w:linePitch="360"/>
        </w:sectPr>
      </w:pPr>
    </w:p>
    <w:p>
      <w:pPr>
        <w:spacing w:after="60" w:before="40"/>
      </w:pPr>
      <w:r>
        <w:rPr>
          <w:rFonts w:ascii="Calibri" w:cs="Calibri" w:eastAsia="Calibri" w:hAnsi="Calibri"/>
          <w:b/>
          <w:bCs/>
          <w:i w:val="false"/>
          <w:iCs w:val="false"/>
          <w:color w:val="001141"/>
          <w:sz w:val="22"/>
          <w:szCs w:val="22"/>
        </w:rPr>
        <w:t xml:space="preserve">What Horizon Needs</w:t>
      </w:r>
    </w:p>
    <w:p>
      <w:pPr>
        <w:spacing w:after="80" w:before="0"/>
      </w:pPr>
      <w:r>
        <w:rPr>
          <w:rFonts w:ascii="Calibri" w:cs="Calibri" w:eastAsia="Calibri" w:hAnsi="Calibri"/>
          <w:b w:val="false"/>
          <w:bCs w:val="false"/>
          <w:i w:val="false"/>
          <w:iCs w:val="false"/>
          <w:color w:val="525252"/>
          <w:sz w:val="20"/>
          <w:szCs w:val="20"/>
        </w:rPr>
        <w:t xml:space="preserve">A strategic partner to transform Application Development, Maintenance, Data, and Testing — with AI solutions native to the Horizon environment.</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AI-driven operational efficiencies across all AMS towers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Product-oriented model aligned to business domains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Automation in testing and QE to measurably reduce cost</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Agile modernization across the ~1,000-app portfolio</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Deep healthcare payer consulting expertise</w:t>
      </w:r>
    </w:p>
    <w:p>
      <w:r>
        <w:rPr>
          <w:rFonts w:ascii="Calibri" w:cs="Calibri" w:eastAsia="Calibri" w:hAnsi="Calibri"/>
          <w:sz w:val="4"/>
          <w:szCs w:val="4"/>
        </w:rPr>
        <w:r>
          <w:br w:type="column"/>
        </w:r>
      </w:r>
    </w:p>
    <w:p>
      <w:pPr>
        <w:spacing w:after="60" w:before="40"/>
      </w:pPr>
      <w:r>
        <w:rPr>
          <w:rFonts w:ascii="Calibri" w:cs="Calibri" w:eastAsia="Calibri" w:hAnsi="Calibri"/>
          <w:b/>
          <w:bCs/>
          <w:i w:val="false"/>
          <w:iCs w:val="false"/>
          <w:color w:val="001141"/>
          <w:sz w:val="22"/>
          <w:szCs w:val="22"/>
        </w:rPr>
        <w:t xml:space="preserve">IBM’s Design Rationale</w:t>
      </w:r>
    </w:p>
    <w:p>
      <w:pPr>
        <w:spacing w:after="40" w:before="100"/>
      </w:pPr>
      <w:r>
        <w:rPr>
          <w:rFonts w:ascii="Calibri" w:cs="Calibri" w:eastAsia="Calibri" w:hAnsi="Calibri"/>
          <w:b/>
          <w:bCs/>
          <w:i w:val="false"/>
          <w:iCs w:val="false"/>
          <w:color w:val="0F62FE"/>
          <w:sz w:val="20"/>
          <w:szCs w:val="20"/>
        </w:rPr>
        <w:t xml:space="preserve">End-to-End Delivery</w:t>
      </w:r>
    </w:p>
    <w:p>
      <w:pPr>
        <w:spacing w:after="80" w:before="0"/>
      </w:pPr>
      <w:r>
        <w:rPr>
          <w:rFonts w:ascii="Calibri" w:cs="Calibri" w:eastAsia="Calibri" w:hAnsi="Calibri"/>
          <w:b w:val="false"/>
          <w:bCs w:val="false"/>
          <w:i w:val="false"/>
          <w:iCs w:val="false"/>
          <w:color w:val="525252"/>
          <w:sz w:val="19"/>
          <w:szCs w:val="19"/>
        </w:rPr>
        <w:t xml:space="preserve">Unified model across Maintenance, Dev, Testing, Data. No silos. One team, one backlog, one set of outcomes.</w:t>
      </w:r>
    </w:p>
    <w:p>
      <w:pPr>
        <w:spacing w:after="40" w:before="100"/>
      </w:pPr>
      <w:r>
        <w:rPr>
          <w:rFonts w:ascii="Calibri" w:cs="Calibri" w:eastAsia="Calibri" w:hAnsi="Calibri"/>
          <w:b/>
          <w:bCs/>
          <w:i w:val="false"/>
          <w:iCs w:val="false"/>
          <w:color w:val="0F62FE"/>
          <w:sz w:val="20"/>
          <w:szCs w:val="20"/>
        </w:rPr>
        <w:t xml:space="preserve">AI at the Core</w:t>
      </w:r>
    </w:p>
    <w:p>
      <w:pPr>
        <w:spacing w:after="80" w:before="0"/>
      </w:pPr>
      <w:r>
        <w:rPr>
          <w:rFonts w:ascii="Calibri" w:cs="Calibri" w:eastAsia="Calibri" w:hAnsi="Calibri"/>
          <w:b w:val="false"/>
          <w:bCs w:val="false"/>
          <w:i w:val="false"/>
          <w:iCs w:val="false"/>
          <w:color w:val="525252"/>
          <w:sz w:val="19"/>
          <w:szCs w:val="19"/>
        </w:rPr>
        <w:t xml:space="preserve">AI embedded in triage, RCA, resolution, test automation, and validation from Day 1.</w:t>
      </w:r>
    </w:p>
    <w:p>
      <w:pPr>
        <w:spacing w:after="40" w:before="100"/>
      </w:pPr>
      <w:r>
        <w:rPr>
          <w:rFonts w:ascii="Calibri" w:cs="Calibri" w:eastAsia="Calibri" w:hAnsi="Calibri"/>
          <w:b/>
          <w:bCs/>
          <w:i w:val="false"/>
          <w:iCs w:val="false"/>
          <w:color w:val="0F62FE"/>
          <w:sz w:val="20"/>
          <w:szCs w:val="20"/>
        </w:rPr>
        <w:t xml:space="preserve">Zero-Disruption Transition</w:t>
      </w:r>
    </w:p>
    <w:p>
      <w:pPr>
        <w:spacing w:after="80" w:before="0"/>
      </w:pPr>
      <w:r>
        <w:rPr>
          <w:rFonts w:ascii="Calibri" w:cs="Calibri" w:eastAsia="Calibri" w:hAnsi="Calibri"/>
          <w:b w:val="false"/>
          <w:bCs w:val="false"/>
          <w:i w:val="false"/>
          <w:iCs w:val="false"/>
          <w:color w:val="525252"/>
          <w:sz w:val="19"/>
          <w:szCs w:val="19"/>
        </w:rPr>
        <w:t xml:space="preserve">Phased approach preserving operational continuity. Zero member impact.</w:t>
      </w:r>
    </w:p>
    <w:p>
      <w:pPr>
        <w:spacing w:after="40" w:before="100"/>
      </w:pPr>
      <w:r>
        <w:rPr>
          <w:rFonts w:ascii="Calibri" w:cs="Calibri" w:eastAsia="Calibri" w:hAnsi="Calibri"/>
          <w:b/>
          <w:bCs/>
          <w:i w:val="false"/>
          <w:iCs w:val="false"/>
          <w:color w:val="0F62FE"/>
          <w:sz w:val="20"/>
          <w:szCs w:val="20"/>
        </w:rPr>
        <w:t xml:space="preserve">Open Architecture</w:t>
      </w:r>
    </w:p>
    <w:p>
      <w:pPr>
        <w:spacing w:after="80" w:before="0"/>
      </w:pPr>
      <w:r>
        <w:rPr>
          <w:rFonts w:ascii="Calibri" w:cs="Calibri" w:eastAsia="Calibri" w:hAnsi="Calibri"/>
          <w:b w:val="false"/>
          <w:bCs w:val="false"/>
          <w:i w:val="false"/>
          <w:iCs w:val="false"/>
          <w:color w:val="525252"/>
          <w:sz w:val="19"/>
          <w:szCs w:val="19"/>
        </w:rPr>
        <w:t xml:space="preserve">Deployed on Horizon’s AWS stack. No vendor lock-in.</w:t>
      </w:r>
    </w:p>
    <w:p>
      <w:pPr>
        <w:sectPr>
          <w:headerReference w:type="default" r:id="rId15"/>
          <w:footerReference w:type="default" r:id="rId16"/>
          <w:type w:val="continuous"/>
          <w:pgSz w:w="11906" w:h="16838" w:orient="portrait"/>
          <w:pgMar w:top="1152" w:right="1296" w:bottom="936" w:left="1296" w:header="708" w:footer="708" w:gutter="0"/>
          <w:pgNumType/>
          <w:cols w:space="504" w:num="2" w:sep="false"/>
          <w:docGrid w:linePitch="360"/>
        </w:sectPr>
      </w:pPr>
    </w:p>
    <w:p>
      <w:pPr>
        <w:spacing w:after="120" w:before="0"/>
      </w:pPr>
      <w:r>
        <w:rPr>
          <w:rFonts w:ascii="Calibri" w:cs="Calibri" w:eastAsia="Calibri" w:hAnsi="Calibri"/>
          <w:sz w:val="8"/>
          <w:szCs w:val="8"/>
        </w:rPr>
        <w:t xml:space="preserve"/>
      </w:r>
    </w:p>
    <w:p>
      <w:pPr>
        <w:spacing w:after="60" w:before="160"/>
      </w:pPr>
      <w:r>
        <w:rPr>
          <w:rFonts w:ascii="Calibri" w:cs="Calibri" w:eastAsia="Calibri" w:hAnsi="Calibri"/>
          <w:b/>
          <w:bCs/>
          <w:i w:val="false"/>
          <w:iCs w:val="false"/>
          <w:color w:val="001141"/>
          <w:sz w:val="22"/>
          <w:szCs w:val="22"/>
        </w:rPr>
        <w:t xml:space="preserve">Current State vs. IBM 12-Month Targets</w:t>
      </w:r>
    </w:p>
    <w:p>
      <w:pPr>
        <w:spacing w:after="80" w:before="0"/>
      </w:pPr>
      <w:r>
        <w:rPr>
          <w:rFonts w:ascii="Calibri" w:cs="Calibri" w:eastAsia="Calibri" w:hAnsi="Calibri"/>
          <w:b w:val="false"/>
          <w:bCs w:val="false"/>
          <w:i/>
          <w:iCs/>
          <w:color w:val="8D8D8D"/>
          <w:sz w:val="17"/>
          <w:szCs w:val="17"/>
        </w:rPr>
        <w:t xml:space="preserve">Estimates are directional; formally baselined during SOW. Committed targets agreed at programme commencement.</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tblGrid>
      <w:tr>
        <w:tc>
          <w:tcPr>
            <w:tcW w:type="dxa" w:w="3182"/>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Metric</w:t>
            </w:r>
          </w:p>
        </w:tc>
        <w:tc>
          <w:tcPr>
            <w:tcW w:type="dxa" w:w="1685"/>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Current</w:t>
            </w:r>
          </w:p>
        </w:tc>
        <w:tc>
          <w:tcPr>
            <w:tcW w:type="dxa" w:w="2059"/>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IBM Target</w:t>
            </w:r>
          </w:p>
        </w:tc>
        <w:tc>
          <w:tcPr>
            <w:tcW w:type="dxa" w:w="2434"/>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Direction</w:t>
            </w:r>
          </w:p>
        </w:tc>
      </w:tr>
      <w:tr>
        <w:tc>
          <w:tcPr>
            <w:tcW w:type="dxa" w:w="3182"/>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8"/>
                <w:szCs w:val="18"/>
              </w:rPr>
              <w:t xml:space="preserve">Test Automation Coverage</w:t>
            </w:r>
          </w:p>
        </w:tc>
        <w:tc>
          <w:tcPr>
            <w:tcW w:type="dxa" w:w="1685"/>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DA1E28"/>
                <w:sz w:val="18"/>
                <w:szCs w:val="18"/>
              </w:rPr>
              <w:t xml:space="preserve">~25%</w:t>
            </w:r>
          </w:p>
        </w:tc>
        <w:tc>
          <w:tcPr>
            <w:tcW w:type="dxa" w:w="2059"/>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80%+</w:t>
            </w:r>
          </w:p>
        </w:tc>
        <w:tc>
          <w:tcPr>
            <w:tcW w:type="dxa" w:w="2434"/>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 +3×</w:t>
            </w:r>
          </w:p>
        </w:tc>
      </w:tr>
      <w:tr>
        <w:tc>
          <w:tcPr>
            <w:tcW w:type="dxa" w:w="3182"/>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8"/>
                <w:szCs w:val="18"/>
              </w:rPr>
              <w:t xml:space="preserve">MTTR (Mean Time to Resolve)</w:t>
            </w:r>
          </w:p>
        </w:tc>
        <w:tc>
          <w:tcPr>
            <w:tcW w:type="dxa" w:w="1685"/>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DA1E28"/>
                <w:sz w:val="18"/>
                <w:szCs w:val="18"/>
              </w:rPr>
              <w:t xml:space="preserve">&gt; 4 hours</w:t>
            </w:r>
          </w:p>
        </w:tc>
        <w:tc>
          <w:tcPr>
            <w:tcW w:type="dxa" w:w="2059"/>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&lt; 1.8 hours</w:t>
            </w:r>
          </w:p>
        </w:tc>
        <w:tc>
          <w:tcPr>
            <w:tcW w:type="dxa" w:w="2434"/>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 55%</w:t>
            </w:r>
          </w:p>
        </w:tc>
      </w:tr>
      <w:tr>
        <w:tc>
          <w:tcPr>
            <w:tcW w:type="dxa" w:w="3182"/>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8"/>
                <w:szCs w:val="18"/>
              </w:rPr>
              <w:t xml:space="preserve">Defect Escape to Production</w:t>
            </w:r>
          </w:p>
        </w:tc>
        <w:tc>
          <w:tcPr>
            <w:tcW w:type="dxa" w:w="1685"/>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DA1E28"/>
                <w:sz w:val="18"/>
                <w:szCs w:val="18"/>
              </w:rPr>
              <w:t xml:space="preserve">Untracked</w:t>
            </w:r>
          </w:p>
        </w:tc>
        <w:tc>
          <w:tcPr>
            <w:tcW w:type="dxa" w:w="2059"/>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65% Reduction</w:t>
            </w:r>
          </w:p>
        </w:tc>
        <w:tc>
          <w:tcPr>
            <w:tcW w:type="dxa" w:w="2434"/>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 Best-in-class</w:t>
            </w:r>
          </w:p>
        </w:tc>
      </w:tr>
      <w:tr>
        <w:tc>
          <w:tcPr>
            <w:tcW w:type="dxa" w:w="3182"/>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8"/>
                <w:szCs w:val="18"/>
              </w:rPr>
              <w:t xml:space="preserve">P3/P4 Auto-Resolution</w:t>
            </w:r>
          </w:p>
        </w:tc>
        <w:tc>
          <w:tcPr>
            <w:tcW w:type="dxa" w:w="1685"/>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DA1E28"/>
                <w:sz w:val="18"/>
                <w:szCs w:val="18"/>
              </w:rPr>
              <w:t xml:space="preserve">&lt; 10%</w:t>
            </w:r>
          </w:p>
        </w:tc>
        <w:tc>
          <w:tcPr>
            <w:tcW w:type="dxa" w:w="2059"/>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&gt; 74%</w:t>
            </w:r>
          </w:p>
        </w:tc>
        <w:tc>
          <w:tcPr>
            <w:tcW w:type="dxa" w:w="2434"/>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 7×</w:t>
            </w:r>
          </w:p>
        </w:tc>
      </w:tr>
      <w:tr>
        <w:tc>
          <w:tcPr>
            <w:tcW w:type="dxa" w:w="3182"/>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8"/>
                <w:szCs w:val="18"/>
              </w:rPr>
              <w:t xml:space="preserve">Regression Cycle Time</w:t>
            </w:r>
          </w:p>
        </w:tc>
        <w:tc>
          <w:tcPr>
            <w:tcW w:type="dxa" w:w="1685"/>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DA1E28"/>
                <w:sz w:val="18"/>
                <w:szCs w:val="18"/>
              </w:rPr>
              <w:t xml:space="preserve">Multi-day</w:t>
            </w:r>
          </w:p>
        </w:tc>
        <w:tc>
          <w:tcPr>
            <w:tcW w:type="dxa" w:w="2059"/>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70% Faster</w:t>
            </w:r>
          </w:p>
        </w:tc>
        <w:tc>
          <w:tcPr>
            <w:tcW w:type="dxa" w:w="2434"/>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 Automated</w:t>
            </w:r>
          </w:p>
        </w:tc>
      </w:tr>
      <w:tr>
        <w:tc>
          <w:tcPr>
            <w:tcW w:type="dxa" w:w="3182"/>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8"/>
                <w:szCs w:val="18"/>
              </w:rPr>
              <w:t xml:space="preserve">Alert Noise per Shift</w:t>
            </w:r>
          </w:p>
        </w:tc>
        <w:tc>
          <w:tcPr>
            <w:tcW w:type="dxa" w:w="1685"/>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DA1E28"/>
                <w:sz w:val="18"/>
                <w:szCs w:val="18"/>
              </w:rPr>
              <w:t xml:space="preserve">Unfiltered</w:t>
            </w:r>
          </w:p>
        </w:tc>
        <w:tc>
          <w:tcPr>
            <w:tcW w:type="dxa" w:w="2059"/>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&gt; 60% Reduced</w:t>
            </w:r>
          </w:p>
        </w:tc>
        <w:tc>
          <w:tcPr>
            <w:tcW w:type="dxa" w:w="2434"/>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 AI-filtered</w:t>
            </w:r>
          </w:p>
        </w:tc>
      </w:tr>
      <w:tr>
        <w:tc>
          <w:tcPr>
            <w:tcW w:type="dxa" w:w="3182"/>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8"/>
                <w:szCs w:val="18"/>
              </w:rPr>
              <w:t xml:space="preserve">System Availability</w:t>
            </w:r>
          </w:p>
        </w:tc>
        <w:tc>
          <w:tcPr>
            <w:tcW w:type="dxa" w:w="1685"/>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DA1E28"/>
                <w:sz w:val="18"/>
                <w:szCs w:val="18"/>
              </w:rPr>
              <w:t xml:space="preserve">~99.7%</w:t>
            </w:r>
          </w:p>
        </w:tc>
        <w:tc>
          <w:tcPr>
            <w:tcW w:type="dxa" w:w="2059"/>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99.9%+</w:t>
            </w:r>
          </w:p>
        </w:tc>
        <w:tc>
          <w:tcPr>
            <w:tcW w:type="dxa" w:w="2434"/>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 AI-ops</w:t>
            </w:r>
          </w:p>
        </w:tc>
      </w:tr>
    </w:tbl>
    <w:p>
      <w:pPr>
        <w:sectPr>
          <w:headerReference w:type="default" r:id="rId17"/>
          <w:footerReference w:type="default" r:id="rId18"/>
          <w:type w:val="continuous"/>
          <w:pgSz w:w="11906" w:h="16838" w:orient="portrait"/>
          <w:pgMar w:top="1152" w:right="1296" w:bottom="936" w:left="1296" w:header="708" w:footer="708" w:gutter="0"/>
          <w:pgNumType/>
          <w:cols w:num="1"/>
          <w:docGrid w:linePitch="360"/>
        </w:sectPr>
      </w:pPr>
    </w:p>
    <w:p>
      <w:pPr>
        <w:pBdr>
          <w:top w:val="single" w:color="0F62FE" w:sz="18" w:space="8"/>
        </w:pBdr>
        <w:spacing w:after="60" w:before="0"/>
      </w:pPr>
    </w:p>
    <w:p>
      <w:pPr>
        <w:spacing w:after="40" w:before="0"/>
      </w:pPr>
      <w:r>
        <w:rPr>
          <w:rFonts w:ascii="Calibri" w:cs="Calibri" w:eastAsia="Calibri" w:hAnsi="Calibri"/>
          <w:b/>
          <w:bCs/>
          <w:i w:val="false"/>
          <w:iCs w:val="false"/>
          <w:color w:val="0F62FE"/>
          <w:sz w:val="18"/>
          <w:szCs w:val="18"/>
        </w:rPr>
        <w:t xml:space="preserve">03  </w:t>
      </w:r>
      <w:r>
        <w:rPr>
          <w:rFonts w:ascii="Calibri" w:cs="Calibri" w:eastAsia="Calibri" w:hAnsi="Calibri"/>
          <w:b/>
          <w:bCs/>
          <w:i w:val="false"/>
          <w:iCs w:val="false"/>
          <w:color w:val="001141"/>
          <w:sz w:val="32"/>
          <w:szCs w:val="32"/>
        </w:rPr>
        <w:t xml:space="preserve">AI-First Application Development</w:t>
      </w:r>
    </w:p>
    <w:p>
      <w:pPr>
        <w:spacing w:after="120" w:before="0"/>
      </w:pPr>
      <w:r>
        <w:rPr>
          <w:rFonts w:ascii="Calibri" w:cs="Calibri" w:eastAsia="Calibri" w:hAnsi="Calibri"/>
          <w:b w:val="false"/>
          <w:bCs w:val="false"/>
          <w:i/>
          <w:iCs/>
          <w:color w:val="8D8D8D"/>
          <w:sz w:val="19"/>
          <w:szCs w:val="19"/>
        </w:rPr>
        <w:t xml:space="preserve">Agentic Engineering  ·  Risk-Scored Pipelines  ·  Domain-Aligned Squads</w:t>
      </w:r>
    </w:p>
    <w:p>
      <w:pPr>
        <w:spacing w:after="60" w:before="0"/>
      </w:pPr>
      <w:r>
        <w:rPr>
          <w:rFonts w:ascii="Calibri" w:cs="Calibri" w:eastAsia="Calibri" w:hAnsi="Calibri"/>
          <w:sz w:val="8"/>
          <w:szCs w:val="8"/>
        </w:rPr>
        <w:t xml:space="preserve"/>
      </w:r>
    </w:p>
    <w:p>
      <w:pPr>
        <w:pBdr>
          <w:left w:val="single" w:color="0F62FE" w:sz="18" w:space="10"/>
        </w:pBdr>
        <w:spacing w:after="20" w:before="40"/>
        <w:ind w:left="504"/>
      </w:pPr>
      <w:r>
        <w:rPr>
          <w:rFonts w:ascii="Calibri" w:cs="Calibri" w:eastAsia="Calibri" w:hAnsi="Calibri"/>
          <w:b w:val="false"/>
          <w:bCs w:val="false"/>
          <w:i/>
          <w:iCs/>
          <w:color w:val="001141"/>
          <w:sz w:val="21"/>
          <w:szCs w:val="21"/>
        </w:rPr>
        <w:t xml:space="preserve">“When a member’s enrollment takes two weeks because a downstream app is slow, that is not a technology problem — that is a trust problem. Every sprint is measured by whether the member’s experience got better.”</w:t>
      </w:r>
    </w:p>
    <w:p>
      <w:pPr>
        <w:spacing w:after="100" w:before="0"/>
        <w:jc w:val="right"/>
      </w:pPr>
      <w:r>
        <w:rPr>
          <w:rFonts w:ascii="Calibri" w:cs="Calibri" w:eastAsia="Calibri" w:hAnsi="Calibri"/>
          <w:b/>
          <w:bCs/>
          <w:i w:val="false"/>
          <w:iCs w:val="false"/>
          <w:color w:val="0F62FE"/>
          <w:sz w:val="17"/>
          <w:szCs w:val="17"/>
        </w:rPr>
        <w:t xml:space="preserve">— IBM — Member Experience Engineering</w:t>
      </w:r>
    </w:p>
    <w:p>
      <w:pPr>
        <w:sectPr>
          <w:headerReference w:type="default" r:id="rId19"/>
          <w:footerReference w:type="default" r:id="rId20"/>
          <w:type w:val="nextPage"/>
          <w:pgSz w:w="11906" w:h="16838" w:orient="portrait"/>
          <w:pgMar w:top="1152" w:right="1296" w:bottom="936" w:left="1296" w:header="708" w:footer="708" w:gutter="0"/>
          <w:pgNumType/>
          <w:cols w:num="1"/>
          <w:docGrid w:linePitch="360"/>
        </w:sectPr>
      </w:pPr>
    </w:p>
    <w:p>
      <w:pPr>
        <w:spacing w:after="60" w:before="40"/>
      </w:pPr>
      <w:r>
        <w:rPr>
          <w:rFonts w:ascii="Calibri" w:cs="Calibri" w:eastAsia="Calibri" w:hAnsi="Calibri"/>
          <w:b/>
          <w:bCs/>
          <w:i w:val="false"/>
          <w:iCs w:val="false"/>
          <w:color w:val="001141"/>
          <w:sz w:val="22"/>
          <w:szCs w:val="22"/>
        </w:rPr>
        <w:t xml:space="preserve">How IBM Builds Faster</w:t>
      </w:r>
    </w:p>
    <w:p>
      <w:pPr>
        <w:spacing w:after="40" w:before="100"/>
      </w:pPr>
      <w:r>
        <w:rPr>
          <w:rFonts w:ascii="Calibri" w:cs="Calibri" w:eastAsia="Calibri" w:hAnsi="Calibri"/>
          <w:b/>
          <w:bCs/>
          <w:i w:val="false"/>
          <w:iCs w:val="false"/>
          <w:color w:val="0F62FE"/>
          <w:sz w:val="20"/>
          <w:szCs w:val="20"/>
        </w:rPr>
        <w:t xml:space="preserve">AI-Assisted Development</w:t>
      </w:r>
    </w:p>
    <w:p>
      <w:pPr>
        <w:spacing w:after="80" w:before="0"/>
      </w:pPr>
      <w:r>
        <w:rPr>
          <w:rFonts w:ascii="Calibri" w:cs="Calibri" w:eastAsia="Calibri" w:hAnsi="Calibri"/>
          <w:b w:val="false"/>
          <w:bCs w:val="false"/>
          <w:i w:val="false"/>
          <w:iCs w:val="false"/>
          <w:color w:val="525252"/>
          <w:sz w:val="19"/>
          <w:szCs w:val="19"/>
        </w:rPr>
        <w:t xml:space="preserve">GenAI accelerates code generation, review, and documentation. Developer throughput +25–35% without adding headcount. IBM Consulting Advantage: 6,500+ production-tested assets.</w:t>
      </w:r>
    </w:p>
    <w:p>
      <w:pPr>
        <w:spacing w:after="40" w:before="100"/>
      </w:pPr>
      <w:r>
        <w:rPr>
          <w:rFonts w:ascii="Calibri" w:cs="Calibri" w:eastAsia="Calibri" w:hAnsi="Calibri"/>
          <w:b/>
          <w:bCs/>
          <w:i w:val="false"/>
          <w:iCs w:val="false"/>
          <w:color w:val="0F62FE"/>
          <w:sz w:val="20"/>
          <w:szCs w:val="20"/>
        </w:rPr>
        <w:t xml:space="preserve">DevSecOps Integration</w:t>
      </w:r>
    </w:p>
    <w:p>
      <w:pPr>
        <w:spacing w:after="80" w:before="0"/>
      </w:pPr>
      <w:r>
        <w:rPr>
          <w:rFonts w:ascii="Calibri" w:cs="Calibri" w:eastAsia="Calibri" w:hAnsi="Calibri"/>
          <w:b w:val="false"/>
          <w:bCs w:val="false"/>
          <w:i w:val="false"/>
          <w:iCs w:val="false"/>
          <w:color w:val="525252"/>
          <w:sz w:val="19"/>
          <w:szCs w:val="19"/>
        </w:rPr>
        <w:t xml:space="preserve">Security embedded left into CI/CD. Automated vulnerability scanning at every stage. HIPAA, CMS, PCI compliance automated.</w:t>
      </w:r>
    </w:p>
    <w:p>
      <w:pPr>
        <w:spacing w:after="40" w:before="100"/>
      </w:pPr>
      <w:r>
        <w:rPr>
          <w:rFonts w:ascii="Calibri" w:cs="Calibri" w:eastAsia="Calibri" w:hAnsi="Calibri"/>
          <w:b/>
          <w:bCs/>
          <w:i w:val="false"/>
          <w:iCs w:val="false"/>
          <w:color w:val="0F62FE"/>
          <w:sz w:val="20"/>
          <w:szCs w:val="20"/>
        </w:rPr>
        <w:t xml:space="preserve">Domain-Aligned Squads</w:t>
      </w:r>
    </w:p>
    <w:p>
      <w:pPr>
        <w:spacing w:after="80" w:before="0"/>
      </w:pPr>
      <w:r>
        <w:rPr>
          <w:rFonts w:ascii="Calibri" w:cs="Calibri" w:eastAsia="Calibri" w:hAnsi="Calibri"/>
          <w:b w:val="false"/>
          <w:bCs w:val="false"/>
          <w:i w:val="false"/>
          <w:iCs w:val="false"/>
          <w:color w:val="525252"/>
          <w:sz w:val="19"/>
          <w:szCs w:val="19"/>
        </w:rPr>
        <w:t xml:space="preserve">Teams aligned to Claims, Enrollment, Member, Provider, Data. Context stays with the squad. Accountability is end-to-end.</w:t>
      </w:r>
    </w:p>
    <w:p>
      <w:r>
        <w:rPr>
          <w:rFonts w:ascii="Calibri" w:cs="Calibri" w:eastAsia="Calibri" w:hAnsi="Calibri"/>
          <w:sz w:val="4"/>
          <w:szCs w:val="4"/>
        </w:rPr>
        <w:r>
          <w:br w:type="column"/>
        </w:r>
      </w:r>
    </w:p>
    <w:p>
      <w:pPr>
        <w:spacing w:after="40" w:before="100"/>
      </w:pPr>
      <w:r>
        <w:rPr>
          <w:rFonts w:ascii="Calibri" w:cs="Calibri" w:eastAsia="Calibri" w:hAnsi="Calibri"/>
          <w:b/>
          <w:bCs/>
          <w:i w:val="false"/>
          <w:iCs w:val="false"/>
          <w:color w:val="0F62FE"/>
          <w:sz w:val="20"/>
          <w:szCs w:val="20"/>
        </w:rPr>
        <w:t xml:space="preserve">Risk-Scored Releases</w:t>
      </w:r>
    </w:p>
    <w:p>
      <w:pPr>
        <w:spacing w:after="80" w:before="0"/>
      </w:pPr>
      <w:r>
        <w:rPr>
          <w:rFonts w:ascii="Calibri" w:cs="Calibri" w:eastAsia="Calibri" w:hAnsi="Calibri"/>
          <w:b w:val="false"/>
          <w:bCs w:val="false"/>
          <w:i w:val="false"/>
          <w:iCs w:val="false"/>
          <w:color w:val="525252"/>
          <w:sz w:val="19"/>
          <w:szCs w:val="19"/>
        </w:rPr>
        <w:t xml:space="preserve">AI-scored gates: security, coverage, performance, historical risk. Low-risk deploys without human approval. Faster delivery, fewer incidents.</w:t>
      </w:r>
    </w:p>
    <w:p>
      <w:pPr>
        <w:spacing w:after="40" w:before="100"/>
      </w:pPr>
      <w:r>
        <w:rPr>
          <w:rFonts w:ascii="Calibri" w:cs="Calibri" w:eastAsia="Calibri" w:hAnsi="Calibri"/>
          <w:b/>
          <w:bCs/>
          <w:i w:val="false"/>
          <w:iCs w:val="false"/>
          <w:color w:val="0F62FE"/>
          <w:sz w:val="20"/>
          <w:szCs w:val="20"/>
        </w:rPr>
        <w:t xml:space="preserve">Modernization in Stride</w:t>
      </w:r>
    </w:p>
    <w:p>
      <w:pPr>
        <w:spacing w:after="80" w:before="0"/>
      </w:pPr>
      <w:r>
        <w:rPr>
          <w:rFonts w:ascii="Calibri" w:cs="Calibri" w:eastAsia="Calibri" w:hAnsi="Calibri"/>
          <w:b w:val="false"/>
          <w:bCs w:val="false"/>
          <w:i w:val="false"/>
          <w:iCs w:val="false"/>
          <w:color w:val="525252"/>
          <w:sz w:val="19"/>
          <w:szCs w:val="19"/>
        </w:rPr>
        <w:t xml:space="preserve">Embedded in every sprint — refactor, API wrap, library upgrade. The estate improves continuously without a separate capital programme.</w:t>
      </w:r>
    </w:p>
    <w:p>
      <w:pPr>
        <w:spacing w:after="80" w:before="0"/>
      </w:pPr>
      <w:r>
        <w:rPr>
          <w:rFonts w:ascii="Calibri" w:cs="Calibri" w:eastAsia="Calibri" w:hAnsi="Calibri"/>
          <w:sz w:val="8"/>
          <w:szCs w:val="8"/>
        </w:rPr>
        <w:t xml:space="preserve"/>
      </w:r>
    </w:p>
    <w:p>
      <w:pPr>
        <w:shd w:fill="EBF2FF" w:val="clear"/>
        <w:spacing w:after="100" w:before="100"/>
        <w:ind w:left="288" w:right="288"/>
      </w:pPr>
      <w:r>
        <w:rPr>
          <w:rFonts w:ascii="Calibri" w:cs="Calibri" w:eastAsia="Calibri" w:hAnsi="Calibri"/>
          <w:b/>
          <w:bCs/>
          <w:i w:val="false"/>
          <w:iCs w:val="false"/>
          <w:color w:val="001141"/>
          <w:sz w:val="20"/>
          <w:szCs w:val="20"/>
        </w:rPr>
        <w:t xml:space="preserve">25–40% faster time to market within 12 months</w:t>
      </w:r>
    </w:p>
    <w:p>
      <w:pPr>
        <w:sectPr>
          <w:headerReference w:type="default" r:id="rId21"/>
          <w:footerReference w:type="default" r:id="rId22"/>
          <w:type w:val="continuous"/>
          <w:pgSz w:w="11906" w:h="16838" w:orient="portrait"/>
          <w:pgMar w:top="1152" w:right="1296" w:bottom="936" w:left="1296" w:header="708" w:footer="708" w:gutter="0"/>
          <w:pgNumType/>
          <w:cols w:space="504" w:num="2" w:sep="false"/>
          <w:docGrid w:linePitch="360"/>
        </w:sectPr>
      </w:pPr>
    </w:p>
    <w:p>
      <w:pPr>
        <w:spacing w:after="120" w:before="0"/>
      </w:pPr>
      <w:r>
        <w:rPr>
          <w:rFonts w:ascii="Calibri" w:cs="Calibri" w:eastAsia="Calibri" w:hAnsi="Calibri"/>
          <w:sz w:val="8"/>
          <w:szCs w:val="8"/>
        </w:rPr>
        <w:t xml:space="preserve"/>
      </w:r>
    </w:p>
    <w:p>
      <w:pPr>
        <w:spacing w:after="60" w:before="160"/>
      </w:pPr>
      <w:r>
        <w:rPr>
          <w:rFonts w:ascii="Calibri" w:cs="Calibri" w:eastAsia="Calibri" w:hAnsi="Calibri"/>
          <w:b/>
          <w:bCs/>
          <w:i w:val="false"/>
          <w:iCs w:val="false"/>
          <w:color w:val="001141"/>
          <w:sz w:val="22"/>
          <w:szCs w:val="22"/>
        </w:rPr>
        <w:t xml:space="preserve">Development Efficiency Gains</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tblGrid>
      <w:tr>
        <w:tc>
          <w:tcPr>
            <w:tcW w:type="dxa" w:w="2808"/>
            <w:tcBorders>
              <w:top w:val="none" w:color="auto" w:sz="0"/>
              <w:left w:val="none" w:color="auto" w:sz="0"/>
              <w:bottom w:val="none" w:color="auto" w:sz="0"/>
              <w:right w:val="none" w:color="auto" w:sz="0"/>
            </w:tcBorders>
            <w:shd w:fill="FFFFFF" w:val="clear"/>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AI-assisted code generation</w:t>
            </w:r>
          </w:p>
        </w:tc>
        <w:tc>
          <w:tcPr>
            <w:tcW w:type="dxa" w:w="4343"/>
            <w:tcBorders>
              <w:top w:val="none" w:color="auto" w:sz="0"/>
              <w:left w:val="none" w:color="auto" w:sz="0"/>
              <w:bottom w:val="none" w:color="auto" w:sz="0"/>
              <w:right w:val="none" w:color="auto" w:sz="0"/>
            </w:tcBorders>
            <w:shd w:fill="0F62FE" w:val="clear"/>
          </w:tcPr>
          <w:p>
            <w:pPr>
              <w:spacing w:after="0" w:before="0"/>
            </w:pPr>
            <w:r>
              <w:rPr>
                <w:rFonts w:ascii="Calibri" w:cs="Calibri" w:eastAsia="Calibri" w:hAnsi="Calibri"/>
                <w:sz w:val="8"/>
                <w:szCs w:val="8"/>
              </w:rPr>
              <w:t xml:space="preserve"/>
            </w:r>
          </w:p>
        </w:tc>
        <w:tc>
          <w:tcPr>
            <w:tcW w:type="dxa" w:w="1086"/>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8"/>
                <w:szCs w:val="8"/>
              </w:rPr>
              <w:t xml:space="preserve"/>
            </w:r>
          </w:p>
        </w:tc>
        <w:tc>
          <w:tcPr>
            <w:tcW w:type="dxa" w:w="1123"/>
            <w:tcBorders>
              <w:top w:val="none" w:color="auto" w:sz="0"/>
              <w:left w:val="none" w:color="auto" w:sz="0"/>
              <w:bottom w:val="none" w:color="auto" w:sz="0"/>
              <w:right w:val="none" w:color="auto" w:sz="0"/>
            </w:tcBorders>
            <w:shd w:fill="FFFFFF" w:val="clear"/>
            <w:tcMar>
              <w:top w:type="dxa" w:w="40"/>
              <w:left w:type="dxa" w:w="80"/>
              <w:bottom w:type="dxa" w:w="40"/>
            </w:tcMar>
            <w:vAlign w:val="center"/>
          </w:tcPr>
          <w:p>
            <w:pPr>
              <w:spacing w:after="0" w:before="0"/>
              <w:jc w:val="right"/>
            </w:pPr>
            <w:r>
              <w:rPr>
                <w:rFonts w:ascii="Calibri" w:cs="Calibri" w:eastAsia="Calibri" w:hAnsi="Calibri"/>
                <w:b/>
                <w:bCs/>
                <w:i w:val="false"/>
                <w:iCs w:val="false"/>
                <w:color w:val="0F62FE"/>
                <w:sz w:val="18"/>
                <w:szCs w:val="18"/>
              </w:rPr>
              <w:t xml:space="preserve">+30% capacity</w:t>
            </w:r>
          </w:p>
        </w:tc>
      </w:tr>
      <w:tr>
        <w:tc>
          <w:tcPr>
            <w:tcW w:type="dxa" w:w="2808"/>
            <w:tcBorders>
              <w:top w:val="none" w:color="auto" w:sz="0"/>
              <w:left w:val="none" w:color="auto" w:sz="0"/>
              <w:bottom w:val="none" w:color="auto" w:sz="0"/>
              <w:right w:val="none" w:color="auto" w:sz="0"/>
            </w:tcBorders>
            <w:shd w:fill="FFFFFF" w:val="clear"/>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Automated QE test synthesis</w:t>
            </w:r>
          </w:p>
        </w:tc>
        <w:tc>
          <w:tcPr>
            <w:tcW w:type="dxa" w:w="4072"/>
            <w:tcBorders>
              <w:top w:val="none" w:color="auto" w:sz="0"/>
              <w:left w:val="none" w:color="auto" w:sz="0"/>
              <w:bottom w:val="none" w:color="auto" w:sz="0"/>
              <w:right w:val="none" w:color="auto" w:sz="0"/>
            </w:tcBorders>
            <w:shd w:fill="007D79" w:val="clear"/>
          </w:tcPr>
          <w:p>
            <w:pPr>
              <w:spacing w:after="0" w:before="0"/>
            </w:pPr>
            <w:r>
              <w:rPr>
                <w:rFonts w:ascii="Calibri" w:cs="Calibri" w:eastAsia="Calibri" w:hAnsi="Calibri"/>
                <w:sz w:val="8"/>
                <w:szCs w:val="8"/>
              </w:rPr>
              <w:t xml:space="preserve"/>
            </w:r>
          </w:p>
        </w:tc>
        <w:tc>
          <w:tcPr>
            <w:tcW w:type="dxa" w:w="1357"/>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8"/>
                <w:szCs w:val="8"/>
              </w:rPr>
              <w:t xml:space="preserve"/>
            </w:r>
          </w:p>
        </w:tc>
        <w:tc>
          <w:tcPr>
            <w:tcW w:type="dxa" w:w="1123"/>
            <w:tcBorders>
              <w:top w:val="none" w:color="auto" w:sz="0"/>
              <w:left w:val="none" w:color="auto" w:sz="0"/>
              <w:bottom w:val="none" w:color="auto" w:sz="0"/>
              <w:right w:val="none" w:color="auto" w:sz="0"/>
            </w:tcBorders>
            <w:shd w:fill="FFFFFF" w:val="clear"/>
            <w:tcMar>
              <w:top w:type="dxa" w:w="40"/>
              <w:left w:type="dxa" w:w="80"/>
              <w:bottom w:type="dxa" w:w="40"/>
            </w:tcMar>
            <w:vAlign w:val="center"/>
          </w:tcPr>
          <w:p>
            <w:pPr>
              <w:spacing w:after="0" w:before="0"/>
              <w:jc w:val="right"/>
            </w:pPr>
            <w:r>
              <w:rPr>
                <w:rFonts w:ascii="Calibri" w:cs="Calibri" w:eastAsia="Calibri" w:hAnsi="Calibri"/>
                <w:b/>
                <w:bCs/>
                <w:i w:val="false"/>
                <w:iCs w:val="false"/>
                <w:color w:val="007D79"/>
                <w:sz w:val="18"/>
                <w:szCs w:val="18"/>
              </w:rPr>
              <w:t xml:space="preserve">+25% QE speed</w:t>
            </w:r>
          </w:p>
        </w:tc>
      </w:tr>
      <w:tr>
        <w:tc>
          <w:tcPr>
            <w:tcW w:type="dxa" w:w="2808"/>
            <w:tcBorders>
              <w:top w:val="none" w:color="auto" w:sz="0"/>
              <w:left w:val="none" w:color="auto" w:sz="0"/>
              <w:bottom w:val="none" w:color="auto" w:sz="0"/>
              <w:right w:val="none" w:color="auto" w:sz="0"/>
            </w:tcBorders>
            <w:shd w:fill="FFFFFF" w:val="clear"/>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Risk-scored deployment pipeline</w:t>
            </w:r>
          </w:p>
        </w:tc>
        <w:tc>
          <w:tcPr>
            <w:tcW w:type="dxa" w:w="3800"/>
            <w:tcBorders>
              <w:top w:val="none" w:color="auto" w:sz="0"/>
              <w:left w:val="none" w:color="auto" w:sz="0"/>
              <w:bottom w:val="none" w:color="auto" w:sz="0"/>
              <w:right w:val="none" w:color="auto" w:sz="0"/>
            </w:tcBorders>
            <w:shd w:fill="0043CE" w:val="clear"/>
          </w:tcPr>
          <w:p>
            <w:pPr>
              <w:spacing w:after="0" w:before="0"/>
            </w:pPr>
            <w:r>
              <w:rPr>
                <w:rFonts w:ascii="Calibri" w:cs="Calibri" w:eastAsia="Calibri" w:hAnsi="Calibri"/>
                <w:sz w:val="8"/>
                <w:szCs w:val="8"/>
              </w:rPr>
              <w:t xml:space="preserve"/>
            </w:r>
          </w:p>
        </w:tc>
        <w:tc>
          <w:tcPr>
            <w:tcW w:type="dxa" w:w="1629"/>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8"/>
                <w:szCs w:val="8"/>
              </w:rPr>
              <w:t xml:space="preserve"/>
            </w:r>
          </w:p>
        </w:tc>
        <w:tc>
          <w:tcPr>
            <w:tcW w:type="dxa" w:w="1123"/>
            <w:tcBorders>
              <w:top w:val="none" w:color="auto" w:sz="0"/>
              <w:left w:val="none" w:color="auto" w:sz="0"/>
              <w:bottom w:val="none" w:color="auto" w:sz="0"/>
              <w:right w:val="none" w:color="auto" w:sz="0"/>
            </w:tcBorders>
            <w:shd w:fill="FFFFFF" w:val="clear"/>
            <w:tcMar>
              <w:top w:type="dxa" w:w="40"/>
              <w:left w:type="dxa" w:w="80"/>
              <w:bottom w:type="dxa" w:w="40"/>
            </w:tcMar>
            <w:vAlign w:val="center"/>
          </w:tcPr>
          <w:p>
            <w:pPr>
              <w:spacing w:after="0" w:before="0"/>
              <w:jc w:val="right"/>
            </w:pPr>
            <w:r>
              <w:rPr>
                <w:rFonts w:ascii="Calibri" w:cs="Calibri" w:eastAsia="Calibri" w:hAnsi="Calibri"/>
                <w:b/>
                <w:bCs/>
                <w:i w:val="false"/>
                <w:iCs w:val="false"/>
                <w:color w:val="0043CE"/>
                <w:sz w:val="18"/>
                <w:szCs w:val="18"/>
              </w:rPr>
              <w:t xml:space="preserve">−60% failures</w:t>
            </w:r>
          </w:p>
        </w:tc>
      </w:tr>
      <w:tr>
        <w:tc>
          <w:tcPr>
            <w:tcW w:type="dxa" w:w="2808"/>
            <w:tcBorders>
              <w:top w:val="none" w:color="auto" w:sz="0"/>
              <w:left w:val="none" w:color="auto" w:sz="0"/>
              <w:bottom w:val="none" w:color="auto" w:sz="0"/>
              <w:right w:val="none" w:color="auto" w:sz="0"/>
            </w:tcBorders>
            <w:shd w:fill="FFFFFF" w:val="clear"/>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Domain squad alignment</w:t>
            </w:r>
          </w:p>
        </w:tc>
        <w:tc>
          <w:tcPr>
            <w:tcW w:type="dxa" w:w="3529"/>
            <w:tcBorders>
              <w:top w:val="none" w:color="auto" w:sz="0"/>
              <w:left w:val="none" w:color="auto" w:sz="0"/>
              <w:bottom w:val="none" w:color="auto" w:sz="0"/>
              <w:right w:val="none" w:color="auto" w:sz="0"/>
            </w:tcBorders>
            <w:shd w:fill="6929C4" w:val="clear"/>
          </w:tcPr>
          <w:p>
            <w:pPr>
              <w:spacing w:after="0" w:before="0"/>
            </w:pPr>
            <w:r>
              <w:rPr>
                <w:rFonts w:ascii="Calibri" w:cs="Calibri" w:eastAsia="Calibri" w:hAnsi="Calibri"/>
                <w:sz w:val="8"/>
                <w:szCs w:val="8"/>
              </w:rPr>
              <w:t xml:space="preserve"/>
            </w:r>
          </w:p>
        </w:tc>
        <w:tc>
          <w:tcPr>
            <w:tcW w:type="dxa" w:w="1900"/>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8"/>
                <w:szCs w:val="8"/>
              </w:rPr>
              <w:t xml:space="preserve"/>
            </w:r>
          </w:p>
        </w:tc>
        <w:tc>
          <w:tcPr>
            <w:tcW w:type="dxa" w:w="1123"/>
            <w:tcBorders>
              <w:top w:val="none" w:color="auto" w:sz="0"/>
              <w:left w:val="none" w:color="auto" w:sz="0"/>
              <w:bottom w:val="none" w:color="auto" w:sz="0"/>
              <w:right w:val="none" w:color="auto" w:sz="0"/>
            </w:tcBorders>
            <w:shd w:fill="FFFFFF" w:val="clear"/>
            <w:tcMar>
              <w:top w:type="dxa" w:w="40"/>
              <w:left w:type="dxa" w:w="80"/>
              <w:bottom w:type="dxa" w:w="40"/>
            </w:tcMar>
            <w:vAlign w:val="center"/>
          </w:tcPr>
          <w:p>
            <w:pPr>
              <w:spacing w:after="0" w:before="0"/>
              <w:jc w:val="right"/>
            </w:pPr>
            <w:r>
              <w:rPr>
                <w:rFonts w:ascii="Calibri" w:cs="Calibri" w:eastAsia="Calibri" w:hAnsi="Calibri"/>
                <w:b/>
                <w:bCs/>
                <w:i w:val="false"/>
                <w:iCs w:val="false"/>
                <w:color w:val="6929C4"/>
                <w:sz w:val="18"/>
                <w:szCs w:val="18"/>
              </w:rPr>
              <w:t xml:space="preserve">−40% handoffs</w:t>
            </w:r>
          </w:p>
        </w:tc>
      </w:tr>
      <w:tr>
        <w:tc>
          <w:tcPr>
            <w:tcW w:type="dxa" w:w="2808"/>
            <w:tcBorders>
              <w:top w:val="none" w:color="auto" w:sz="0"/>
              <w:left w:val="none" w:color="auto" w:sz="0"/>
              <w:bottom w:val="none" w:color="auto" w:sz="0"/>
              <w:right w:val="none" w:color="auto" w:sz="0"/>
            </w:tcBorders>
            <w:shd w:fill="FFFFFF" w:val="clear"/>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Modernization-in-stride</w:t>
            </w:r>
          </w:p>
        </w:tc>
        <w:tc>
          <w:tcPr>
            <w:tcW w:type="dxa" w:w="3257"/>
            <w:tcBorders>
              <w:top w:val="none" w:color="auto" w:sz="0"/>
              <w:left w:val="none" w:color="auto" w:sz="0"/>
              <w:bottom w:val="none" w:color="auto" w:sz="0"/>
              <w:right w:val="none" w:color="auto" w:sz="0"/>
            </w:tcBorders>
            <w:shd w:fill="005D5D" w:val="clear"/>
          </w:tcPr>
          <w:p>
            <w:pPr>
              <w:spacing w:after="0" w:before="0"/>
            </w:pPr>
            <w:r>
              <w:rPr>
                <w:rFonts w:ascii="Calibri" w:cs="Calibri" w:eastAsia="Calibri" w:hAnsi="Calibri"/>
                <w:sz w:val="8"/>
                <w:szCs w:val="8"/>
              </w:rPr>
              <w:t xml:space="preserve"/>
            </w:r>
          </w:p>
        </w:tc>
        <w:tc>
          <w:tcPr>
            <w:tcW w:type="dxa" w:w="2172"/>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8"/>
                <w:szCs w:val="8"/>
              </w:rPr>
              <w:t xml:space="preserve"/>
            </w:r>
          </w:p>
        </w:tc>
        <w:tc>
          <w:tcPr>
            <w:tcW w:type="dxa" w:w="1123"/>
            <w:tcBorders>
              <w:top w:val="none" w:color="auto" w:sz="0"/>
              <w:left w:val="none" w:color="auto" w:sz="0"/>
              <w:bottom w:val="none" w:color="auto" w:sz="0"/>
              <w:right w:val="none" w:color="auto" w:sz="0"/>
            </w:tcBorders>
            <w:shd w:fill="FFFFFF" w:val="clear"/>
            <w:tcMar>
              <w:top w:type="dxa" w:w="40"/>
              <w:left w:type="dxa" w:w="80"/>
              <w:bottom w:type="dxa" w:w="40"/>
            </w:tcMar>
            <w:vAlign w:val="center"/>
          </w:tcPr>
          <w:p>
            <w:pPr>
              <w:spacing w:after="0" w:before="0"/>
              <w:jc w:val="right"/>
            </w:pPr>
            <w:r>
              <w:rPr>
                <w:rFonts w:ascii="Calibri" w:cs="Calibri" w:eastAsia="Calibri" w:hAnsi="Calibri"/>
                <w:b/>
                <w:bCs/>
                <w:i w:val="false"/>
                <w:iCs w:val="false"/>
                <w:color w:val="005D5D"/>
                <w:sz w:val="18"/>
                <w:szCs w:val="18"/>
              </w:rPr>
              <w:t xml:space="preserve">Debt −30%/yr</w:t>
            </w:r>
          </w:p>
        </w:tc>
      </w:tr>
    </w:tbl>
    <w:p>
      <w:pPr>
        <w:spacing w:after="80" w:before="0"/>
      </w:pPr>
      <w:r>
        <w:rPr>
          <w:rFonts w:ascii="Calibri" w:cs="Calibri" w:eastAsia="Calibri" w:hAnsi="Calibri"/>
          <w:sz w:val="8"/>
          <w:szCs w:val="8"/>
        </w:rPr>
        <w:t xml:space="preserve"/>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tblGrid>
      <w:tr>
        <w:tc>
          <w:tcPr>
            <w:tcW w:type="dxa" w:w="2340"/>
            <w:tcBorders>
              <w:top w:val="single" w:color="0F62FE"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0F62FE"/>
                <w:sz w:val="48"/>
                <w:szCs w:val="48"/>
              </w:rPr>
              <w:t xml:space="preserve">25–40%</w:t>
            </w:r>
          </w:p>
          <w:p>
            <w:pPr>
              <w:spacing w:after="120" w:before="0"/>
              <w:jc w:val="center"/>
            </w:pPr>
            <w:r>
              <w:rPr>
                <w:rFonts w:ascii="Calibri" w:cs="Calibri" w:eastAsia="Calibri" w:hAnsi="Calibri"/>
                <w:b/>
                <w:bCs/>
                <w:i w:val="false"/>
                <w:iCs w:val="false"/>
                <w:color w:val="001141"/>
                <w:sz w:val="17"/>
                <w:szCs w:val="17"/>
              </w:rPr>
              <w:t xml:space="preserve">Faster Time to Market</w:t>
            </w:r>
          </w:p>
        </w:tc>
        <w:tc>
          <w:tcPr>
            <w:tcW w:type="dxa" w:w="2340"/>
            <w:tcBorders>
              <w:top w:val="single" w:color="0043CE"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0043CE"/>
                <w:sz w:val="48"/>
                <w:szCs w:val="48"/>
              </w:rPr>
              <w:t xml:space="preserve">2×</w:t>
            </w:r>
          </w:p>
          <w:p>
            <w:pPr>
              <w:spacing w:after="120" w:before="0"/>
              <w:jc w:val="center"/>
            </w:pPr>
            <w:r>
              <w:rPr>
                <w:rFonts w:ascii="Calibri" w:cs="Calibri" w:eastAsia="Calibri" w:hAnsi="Calibri"/>
                <w:b/>
                <w:bCs/>
                <w:i w:val="false"/>
                <w:iCs w:val="false"/>
                <w:color w:val="001141"/>
                <w:sz w:val="17"/>
                <w:szCs w:val="17"/>
              </w:rPr>
              <w:t xml:space="preserve">Deploy Frequency</w:t>
            </w:r>
          </w:p>
        </w:tc>
        <w:tc>
          <w:tcPr>
            <w:tcW w:type="dxa" w:w="2340"/>
            <w:tcBorders>
              <w:top w:val="single" w:color="007D79"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007D79"/>
                <w:sz w:val="48"/>
                <w:szCs w:val="48"/>
              </w:rPr>
              <w:t xml:space="preserve">−60%</w:t>
            </w:r>
          </w:p>
          <w:p>
            <w:pPr>
              <w:spacing w:after="120" w:before="0"/>
              <w:jc w:val="center"/>
            </w:pPr>
            <w:r>
              <w:rPr>
                <w:rFonts w:ascii="Calibri" w:cs="Calibri" w:eastAsia="Calibri" w:hAnsi="Calibri"/>
                <w:b/>
                <w:bCs/>
                <w:i w:val="false"/>
                <w:iCs w:val="false"/>
                <w:color w:val="001141"/>
                <w:sz w:val="17"/>
                <w:szCs w:val="17"/>
              </w:rPr>
              <w:t xml:space="preserve">Change Failure Rate</w:t>
            </w:r>
          </w:p>
        </w:tc>
        <w:tc>
          <w:tcPr>
            <w:tcW w:type="dxa" w:w="2340"/>
            <w:tcBorders>
              <w:top w:val="single" w:color="6929C4"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6929C4"/>
                <w:sz w:val="48"/>
                <w:szCs w:val="48"/>
              </w:rPr>
              <w:t xml:space="preserve">80%+</w:t>
            </w:r>
          </w:p>
          <w:p>
            <w:pPr>
              <w:spacing w:after="120" w:before="0"/>
              <w:jc w:val="center"/>
            </w:pPr>
            <w:r>
              <w:rPr>
                <w:rFonts w:ascii="Calibri" w:cs="Calibri" w:eastAsia="Calibri" w:hAnsi="Calibri"/>
                <w:b/>
                <w:bCs/>
                <w:i w:val="false"/>
                <w:iCs w:val="false"/>
                <w:color w:val="001141"/>
                <w:sz w:val="17"/>
                <w:szCs w:val="17"/>
              </w:rPr>
              <w:t xml:space="preserve">Test Automation</w:t>
            </w:r>
          </w:p>
        </w:tc>
      </w:tr>
    </w:tbl>
    <w:p>
      <w:pPr>
        <w:sectPr>
          <w:headerReference w:type="default" r:id="rId23"/>
          <w:footerReference w:type="default" r:id="rId24"/>
          <w:type w:val="continuous"/>
          <w:pgSz w:w="11906" w:h="16838" w:orient="portrait"/>
          <w:pgMar w:top="1152" w:right="1296" w:bottom="936" w:left="1296" w:header="708" w:footer="708" w:gutter="0"/>
          <w:pgNumType/>
          <w:cols w:num="1"/>
          <w:docGrid w:linePitch="360"/>
        </w:sectPr>
      </w:pPr>
    </w:p>
    <w:p>
      <w:pPr>
        <w:pBdr>
          <w:top w:val="single" w:color="0F62FE" w:sz="18" w:space="8"/>
        </w:pBdr>
        <w:spacing w:after="60" w:before="0"/>
      </w:pPr>
    </w:p>
    <w:p>
      <w:pPr>
        <w:spacing w:after="40" w:before="0"/>
      </w:pPr>
      <w:r>
        <w:rPr>
          <w:rFonts w:ascii="Calibri" w:cs="Calibri" w:eastAsia="Calibri" w:hAnsi="Calibri"/>
          <w:b/>
          <w:bCs/>
          <w:i w:val="false"/>
          <w:iCs w:val="false"/>
          <w:color w:val="0F62FE"/>
          <w:sz w:val="18"/>
          <w:szCs w:val="18"/>
        </w:rPr>
        <w:t xml:space="preserve">04  </w:t>
      </w:r>
      <w:r>
        <w:rPr>
          <w:rFonts w:ascii="Calibri" w:cs="Calibri" w:eastAsia="Calibri" w:hAnsi="Calibri"/>
          <w:b/>
          <w:bCs/>
          <w:i w:val="false"/>
          <w:iCs w:val="false"/>
          <w:color w:val="001141"/>
          <w:sz w:val="32"/>
          <w:szCs w:val="32"/>
        </w:rPr>
        <w:t xml:space="preserve">Zero-Touch Application Maintenance</w:t>
      </w:r>
    </w:p>
    <w:p>
      <w:pPr>
        <w:spacing w:after="120" w:before="0"/>
      </w:pPr>
      <w:r>
        <w:rPr>
          <w:rFonts w:ascii="Calibri" w:cs="Calibri" w:eastAsia="Calibri" w:hAnsi="Calibri"/>
          <w:b w:val="false"/>
          <w:bCs w:val="false"/>
          <w:i/>
          <w:iCs/>
          <w:color w:val="8D8D8D"/>
          <w:sz w:val="19"/>
          <w:szCs w:val="19"/>
        </w:rPr>
        <w:t xml:space="preserve">Agentic AI Operations — From Reactive Firefighting to Self-Healing</w:t>
      </w:r>
    </w:p>
    <w:p>
      <w:pPr>
        <w:spacing w:after="60" w:before="0"/>
      </w:pPr>
      <w:r>
        <w:rPr>
          <w:rFonts w:ascii="Calibri" w:cs="Calibri" w:eastAsia="Calibri" w:hAnsi="Calibri"/>
          <w:sz w:val="8"/>
          <w:szCs w:val="8"/>
        </w:rPr>
        <w:t xml:space="preserve"/>
      </w:r>
    </w:p>
    <w:p>
      <w:pPr>
        <w:pBdr>
          <w:left w:val="single" w:color="0F62FE" w:sz="18" w:space="10"/>
        </w:pBdr>
        <w:spacing w:after="20" w:before="40"/>
        <w:ind w:left="504"/>
      </w:pPr>
      <w:r>
        <w:rPr>
          <w:rFonts w:ascii="Calibri" w:cs="Calibri" w:eastAsia="Calibri" w:hAnsi="Calibri"/>
          <w:b w:val="false"/>
          <w:bCs w:val="false"/>
          <w:i/>
          <w:iCs/>
          <w:color w:val="001141"/>
          <w:sz w:val="21"/>
          <w:szCs w:val="21"/>
        </w:rPr>
        <w:t xml:space="preserve">“When a claims system fails at 2 AM, the first responder should be an AI agent — not a sleep-deprived engineer. The provider should never know. The member should never feel it. That is zero-touch.”</w:t>
      </w:r>
    </w:p>
    <w:p>
      <w:pPr>
        <w:spacing w:after="100" w:before="0"/>
        <w:jc w:val="right"/>
      </w:pPr>
      <w:r>
        <w:rPr>
          <w:rFonts w:ascii="Calibri" w:cs="Calibri" w:eastAsia="Calibri" w:hAnsi="Calibri"/>
          <w:b/>
          <w:bCs/>
          <w:i w:val="false"/>
          <w:iCs w:val="false"/>
          <w:color w:val="0F62FE"/>
          <w:sz w:val="17"/>
          <w:szCs w:val="17"/>
        </w:rPr>
        <w:t xml:space="preserve">— IBM AIOps</w:t>
      </w:r>
    </w:p>
    <w:p>
      <w:pPr>
        <w:spacing w:after="80" w:before="0"/>
      </w:pPr>
      <w:r>
        <w:rPr>
          <w:rFonts w:ascii="Calibri" w:cs="Calibri" w:eastAsia="Calibri" w:hAnsi="Calibri"/>
          <w:b w:val="false"/>
          <w:bCs w:val="false"/>
          <w:i w:val="false"/>
          <w:iCs w:val="false"/>
          <w:color w:val="525252"/>
          <w:sz w:val="20"/>
          <w:szCs w:val="20"/>
        </w:rPr>
        <w:t xml:space="preserve">IBM’s AIOps framework uses a multi-agent architecture — specialized AI agents across the incident lifecycle from detection through resolution and continuous learning. Built on Horizon’s AWS stack: AgentCore &amp; Bedrock, ElasticSearch, PostgreSQL, ServiceNow, CloudWatch, Splunk.</w:t>
      </w:r>
    </w:p>
    <w:p>
      <w:pPr>
        <w:sectPr>
          <w:headerReference w:type="default" r:id="rId25"/>
          <w:footerReference w:type="default" r:id="rId26"/>
          <w:type w:val="nextPage"/>
          <w:pgSz w:w="11906" w:h="16838" w:orient="portrait"/>
          <w:pgMar w:top="1152" w:right="1296" w:bottom="936" w:left="1296" w:header="708" w:footer="708" w:gutter="0"/>
          <w:pgNumType/>
          <w:cols w:num="1"/>
          <w:docGrid w:linePitch="360"/>
        </w:sectPr>
      </w:pPr>
    </w:p>
    <w:p>
      <w:pPr>
        <w:spacing w:after="60" w:before="40"/>
      </w:pPr>
      <w:r>
        <w:rPr>
          <w:rFonts w:ascii="Calibri" w:cs="Calibri" w:eastAsia="Calibri" w:hAnsi="Calibri"/>
          <w:b/>
          <w:bCs/>
          <w:i w:val="false"/>
          <w:iCs w:val="false"/>
          <w:color w:val="001141"/>
          <w:sz w:val="22"/>
          <w:szCs w:val="22"/>
        </w:rPr>
        <w:t xml:space="preserve">Agent Roles</w:t>
      </w:r>
    </w:p>
    <w:p>
      <w:pPr>
        <w:spacing w:after="40" w:before="100"/>
      </w:pPr>
      <w:r>
        <w:rPr>
          <w:rFonts w:ascii="Calibri" w:cs="Calibri" w:eastAsia="Calibri" w:hAnsi="Calibri"/>
          <w:b/>
          <w:bCs/>
          <w:i w:val="false"/>
          <w:iCs w:val="false"/>
          <w:color w:val="0F62FE"/>
          <w:sz w:val="20"/>
          <w:szCs w:val="20"/>
        </w:rPr>
        <w:t xml:space="preserve">Help Desk Agent</w:t>
      </w:r>
    </w:p>
    <w:p>
      <w:pPr>
        <w:spacing w:after="80" w:before="0"/>
      </w:pPr>
      <w:r>
        <w:rPr>
          <w:rFonts w:ascii="Calibri" w:cs="Calibri" w:eastAsia="Calibri" w:hAnsi="Calibri"/>
          <w:b w:val="false"/>
          <w:bCs w:val="false"/>
          <w:i w:val="false"/>
          <w:iCs w:val="false"/>
          <w:color w:val="525252"/>
          <w:sz w:val="19"/>
          <w:szCs w:val="19"/>
        </w:rPr>
        <w:t xml:space="preserve">Context-aware guidance; auto-resolves issues before ticket creation.</w:t>
      </w:r>
    </w:p>
    <w:p>
      <w:pPr>
        <w:spacing w:after="40" w:before="100"/>
      </w:pPr>
      <w:r>
        <w:rPr>
          <w:rFonts w:ascii="Calibri" w:cs="Calibri" w:eastAsia="Calibri" w:hAnsi="Calibri"/>
          <w:b/>
          <w:bCs/>
          <w:i w:val="false"/>
          <w:iCs w:val="false"/>
          <w:color w:val="0F62FE"/>
          <w:sz w:val="20"/>
          <w:szCs w:val="20"/>
        </w:rPr>
        <w:t xml:space="preserve">Triage Agent</w:t>
      </w:r>
    </w:p>
    <w:p>
      <w:pPr>
        <w:spacing w:after="80" w:before="0"/>
      </w:pPr>
      <w:r>
        <w:rPr>
          <w:rFonts w:ascii="Calibri" w:cs="Calibri" w:eastAsia="Calibri" w:hAnsi="Calibri"/>
          <w:b w:val="false"/>
          <w:bCs w:val="false"/>
          <w:i w:val="false"/>
          <w:iCs w:val="false"/>
          <w:color w:val="525252"/>
          <w:sz w:val="19"/>
          <w:szCs w:val="19"/>
        </w:rPr>
        <w:t xml:space="preserve">Impact-based prioritization; eliminates manual queue management.</w:t>
      </w:r>
    </w:p>
    <w:p>
      <w:pPr>
        <w:spacing w:after="40" w:before="100"/>
      </w:pPr>
      <w:r>
        <w:rPr>
          <w:rFonts w:ascii="Calibri" w:cs="Calibri" w:eastAsia="Calibri" w:hAnsi="Calibri"/>
          <w:b/>
          <w:bCs/>
          <w:i w:val="false"/>
          <w:iCs w:val="false"/>
          <w:color w:val="0F62FE"/>
          <w:sz w:val="20"/>
          <w:szCs w:val="20"/>
        </w:rPr>
        <w:t xml:space="preserve">Root Cause Analysis</w:t>
      </w:r>
    </w:p>
    <w:p>
      <w:pPr>
        <w:spacing w:after="80" w:before="0"/>
      </w:pPr>
      <w:r>
        <w:rPr>
          <w:rFonts w:ascii="Calibri" w:cs="Calibri" w:eastAsia="Calibri" w:hAnsi="Calibri"/>
          <w:b w:val="false"/>
          <w:bCs w:val="false"/>
          <w:i w:val="false"/>
          <w:iCs w:val="false"/>
          <w:color w:val="525252"/>
          <w:sz w:val="19"/>
          <w:szCs w:val="19"/>
        </w:rPr>
        <w:t xml:space="preserve">Correlates 140+ sources; identifies root cause in minutes, not hours.</w:t>
      </w:r>
    </w:p>
    <w:p>
      <w:r>
        <w:rPr>
          <w:rFonts w:ascii="Calibri" w:cs="Calibri" w:eastAsia="Calibri" w:hAnsi="Calibri"/>
          <w:sz w:val="4"/>
          <w:szCs w:val="4"/>
        </w:rPr>
        <w:r>
          <w:br w:type="column"/>
        </w:r>
      </w:r>
    </w:p>
    <w:p>
      <w:pPr>
        <w:spacing w:after="40" w:before="100"/>
      </w:pPr>
      <w:r>
        <w:rPr>
          <w:rFonts w:ascii="Calibri" w:cs="Calibri" w:eastAsia="Calibri" w:hAnsi="Calibri"/>
          <w:b/>
          <w:bCs/>
          <w:i w:val="false"/>
          <w:iCs w:val="false"/>
          <w:color w:val="0F62FE"/>
          <w:sz w:val="20"/>
          <w:szCs w:val="20"/>
        </w:rPr>
        <w:t xml:space="preserve">Resolution Agent</w:t>
      </w:r>
    </w:p>
    <w:p>
      <w:pPr>
        <w:spacing w:after="80" w:before="0"/>
      </w:pPr>
      <w:r>
        <w:rPr>
          <w:rFonts w:ascii="Calibri" w:cs="Calibri" w:eastAsia="Calibri" w:hAnsi="Calibri"/>
          <w:b w:val="false"/>
          <w:bCs w:val="false"/>
          <w:i w:val="false"/>
          <w:iCs w:val="false"/>
          <w:color w:val="525252"/>
          <w:sz w:val="19"/>
          <w:szCs w:val="19"/>
        </w:rPr>
        <w:t xml:space="preserve">Executes remediation from runbooks. &gt;74% of P3/P4 incidents resolved without human action.</w:t>
      </w:r>
    </w:p>
    <w:p>
      <w:pPr>
        <w:spacing w:after="40" w:before="100"/>
      </w:pPr>
      <w:r>
        <w:rPr>
          <w:rFonts w:ascii="Calibri" w:cs="Calibri" w:eastAsia="Calibri" w:hAnsi="Calibri"/>
          <w:b/>
          <w:bCs/>
          <w:i w:val="false"/>
          <w:iCs w:val="false"/>
          <w:color w:val="0F62FE"/>
          <w:sz w:val="20"/>
          <w:szCs w:val="20"/>
        </w:rPr>
        <w:t xml:space="preserve">Runbook Generation</w:t>
      </w:r>
    </w:p>
    <w:p>
      <w:pPr>
        <w:spacing w:after="80" w:before="0"/>
      </w:pPr>
      <w:r>
        <w:rPr>
          <w:rFonts w:ascii="Calibri" w:cs="Calibri" w:eastAsia="Calibri" w:hAnsi="Calibri"/>
          <w:b w:val="false"/>
          <w:bCs w:val="false"/>
          <w:i w:val="false"/>
          <w:iCs w:val="false"/>
          <w:color w:val="525252"/>
          <w:sz w:val="19"/>
          <w:szCs w:val="19"/>
        </w:rPr>
        <w:t xml:space="preserve">Auto-generates runbooks from resolved incidents. Knowledge compounds; no institutional memory loss.</w:t>
      </w:r>
    </w:p>
    <w:p>
      <w:pPr>
        <w:spacing w:after="40" w:before="100"/>
      </w:pPr>
      <w:r>
        <w:rPr>
          <w:rFonts w:ascii="Calibri" w:cs="Calibri" w:eastAsia="Calibri" w:hAnsi="Calibri"/>
          <w:b/>
          <w:bCs/>
          <w:i w:val="false"/>
          <w:iCs w:val="false"/>
          <w:color w:val="0F62FE"/>
          <w:sz w:val="20"/>
          <w:szCs w:val="20"/>
        </w:rPr>
        <w:t xml:space="preserve">Continuous Learning</w:t>
      </w:r>
    </w:p>
    <w:p>
      <w:pPr>
        <w:spacing w:after="80" w:before="0"/>
      </w:pPr>
      <w:r>
        <w:rPr>
          <w:rFonts w:ascii="Calibri" w:cs="Calibri" w:eastAsia="Calibri" w:hAnsi="Calibri"/>
          <w:b w:val="false"/>
          <w:bCs w:val="false"/>
          <w:i w:val="false"/>
          <w:iCs w:val="false"/>
          <w:color w:val="525252"/>
          <w:sz w:val="19"/>
          <w:szCs w:val="19"/>
        </w:rPr>
        <w:t xml:space="preserve">Production telemetry feeds all agents. Month 12 is fundamentally smarter than Month 1.</w:t>
      </w:r>
    </w:p>
    <w:p>
      <w:pPr>
        <w:sectPr>
          <w:headerReference w:type="default" r:id="rId27"/>
          <w:footerReference w:type="default" r:id="rId28"/>
          <w:type w:val="continuous"/>
          <w:pgSz w:w="11906" w:h="16838" w:orient="portrait"/>
          <w:pgMar w:top="1152" w:right="1296" w:bottom="936" w:left="1296" w:header="708" w:footer="708" w:gutter="0"/>
          <w:pgNumType/>
          <w:cols w:space="504" w:num="2" w:sep="false"/>
          <w:docGrid w:linePitch="360"/>
        </w:sectPr>
      </w:pPr>
    </w:p>
    <w:p>
      <w:pPr>
        <w:spacing w:after="80" w:before="0"/>
      </w:pPr>
      <w:r>
        <w:rPr>
          <w:rFonts w:ascii="Calibri" w:cs="Calibri" w:eastAsia="Calibri" w:hAnsi="Calibri"/>
          <w:sz w:val="8"/>
          <w:szCs w:val="8"/>
        </w:rPr>
        <w:t xml:space="preserve"/>
      </w:r>
    </w:p>
    <w:p>
      <w:pPr>
        <w:spacing w:after="60" w:before="160"/>
      </w:pPr>
      <w:r>
        <w:rPr>
          <w:rFonts w:ascii="Calibri" w:cs="Calibri" w:eastAsia="Calibri" w:hAnsi="Calibri"/>
          <w:b/>
          <w:bCs/>
          <w:i w:val="false"/>
          <w:iCs w:val="false"/>
          <w:color w:val="001141"/>
          <w:sz w:val="22"/>
          <w:szCs w:val="22"/>
        </w:rPr>
        <w:t xml:space="preserve">Zero-Touch Pipeline</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gridCol w:w="100"/>
      </w:tblGrid>
      <w:tr>
        <w:tc>
          <w:tcPr>
            <w:tcW w:type="dxa" w:w="1872"/>
            <w:tcBorders>
              <w:top w:val="single" w:color="0F62FE" w:sz="16"/>
              <w:left w:val="single" w:color="E0E0E0" w:sz="4"/>
              <w:bottom w:val="single" w:color="E0E0E0" w:sz="4"/>
              <w:right w:val="single" w:color="E0E0E0" w:sz="4"/>
            </w:tcBorders>
            <w:shd w:fill="FFFFFF" w:val="clear"/>
            <w:tcMar>
              <w:top w:type="dxa" w:w="60"/>
              <w:left w:type="dxa" w:w="80"/>
              <w:bottom w:type="dxa" w:w="60"/>
              <w:right w:type="dxa" w:w="80"/>
            </w:tcMar>
          </w:tcPr>
          <w:p>
            <w:pPr>
              <w:spacing w:after="20" w:before="80"/>
              <w:jc w:val="center"/>
            </w:pPr>
            <w:r>
              <w:rPr>
                <w:rFonts w:ascii="Calibri" w:cs="Calibri" w:eastAsia="Calibri" w:hAnsi="Calibri"/>
                <w:b/>
                <w:bCs/>
                <w:i w:val="false"/>
                <w:iCs w:val="false"/>
                <w:color w:val="0F62FE"/>
                <w:sz w:val="14"/>
                <w:szCs w:val="14"/>
              </w:rPr>
              <w:t xml:space="preserve">STEP 1</w:t>
            </w:r>
          </w:p>
          <w:p>
            <w:pPr>
              <w:spacing w:after="60" w:before="0"/>
              <w:jc w:val="center"/>
            </w:pPr>
            <w:r>
              <w:rPr>
                <w:rFonts w:ascii="Calibri" w:cs="Calibri" w:eastAsia="Calibri" w:hAnsi="Calibri"/>
                <w:b/>
                <w:bCs/>
                <w:i w:val="false"/>
                <w:iCs w:val="false"/>
                <w:color w:val="001141"/>
                <w:sz w:val="19"/>
                <w:szCs w:val="19"/>
              </w:rPr>
              <w:t xml:space="preserve">Detect</w:t>
            </w:r>
          </w:p>
          <w:p>
            <w:pPr>
              <w:spacing w:after="30" w:before="0"/>
              <w:jc w:val="center"/>
            </w:pPr>
            <w:r>
              <w:rPr>
                <w:rFonts w:ascii="Calibri" w:cs="Calibri" w:eastAsia="Calibri" w:hAnsi="Calibri"/>
                <w:b w:val="false"/>
                <w:bCs w:val="false"/>
                <w:i w:val="false"/>
                <w:iCs w:val="false"/>
                <w:color w:val="525252"/>
                <w:sz w:val="17"/>
                <w:szCs w:val="17"/>
              </w:rPr>
              <w:t xml:space="preserve">140+ sources</w:t>
            </w:r>
          </w:p>
          <w:p>
            <w:pPr>
              <w:spacing w:after="30" w:before="0"/>
              <w:jc w:val="center"/>
            </w:pPr>
            <w:r>
              <w:rPr>
                <w:rFonts w:ascii="Calibri" w:cs="Calibri" w:eastAsia="Calibri" w:hAnsi="Calibri"/>
                <w:b w:val="false"/>
                <w:bCs w:val="false"/>
                <w:i w:val="false"/>
                <w:iCs w:val="false"/>
                <w:color w:val="525252"/>
                <w:sz w:val="17"/>
                <w:szCs w:val="17"/>
              </w:rPr>
              <w:t xml:space="preserve">Noise &gt;60% cut</w:t>
            </w:r>
          </w:p>
          <w:p>
            <w:pPr>
              <w:spacing w:after="60" w:before="0"/>
            </w:pPr>
            <w:r>
              <w:rPr>
                <w:rFonts w:ascii="Calibri" w:cs="Calibri" w:eastAsia="Calibri" w:hAnsi="Calibri"/>
                <w:sz w:val="8"/>
                <w:szCs w:val="8"/>
              </w:rPr>
              <w:t xml:space="preserve"/>
            </w:r>
          </w:p>
        </w:tc>
        <w:tc>
          <w:tcPr>
            <w:tcW w:type="dxa" w:w="1872"/>
            <w:tcBorders>
              <w:top w:val="single" w:color="0072C3" w:sz="16"/>
              <w:left w:val="single" w:color="E0E0E0" w:sz="4"/>
              <w:bottom w:val="single" w:color="E0E0E0" w:sz="4"/>
              <w:right w:val="single" w:color="E0E0E0" w:sz="4"/>
            </w:tcBorders>
            <w:shd w:fill="FFFFFF" w:val="clear"/>
            <w:tcMar>
              <w:top w:type="dxa" w:w="60"/>
              <w:left w:type="dxa" w:w="80"/>
              <w:bottom w:type="dxa" w:w="60"/>
              <w:right w:type="dxa" w:w="80"/>
            </w:tcMar>
          </w:tcPr>
          <w:p>
            <w:pPr>
              <w:spacing w:after="20" w:before="80"/>
              <w:jc w:val="center"/>
            </w:pPr>
            <w:r>
              <w:rPr>
                <w:rFonts w:ascii="Calibri" w:cs="Calibri" w:eastAsia="Calibri" w:hAnsi="Calibri"/>
                <w:b/>
                <w:bCs/>
                <w:i w:val="false"/>
                <w:iCs w:val="false"/>
                <w:color w:val="0072C3"/>
                <w:sz w:val="14"/>
                <w:szCs w:val="14"/>
              </w:rPr>
              <w:t xml:space="preserve">STEP 2</w:t>
            </w:r>
          </w:p>
          <w:p>
            <w:pPr>
              <w:spacing w:after="60" w:before="0"/>
              <w:jc w:val="center"/>
            </w:pPr>
            <w:r>
              <w:rPr>
                <w:rFonts w:ascii="Calibri" w:cs="Calibri" w:eastAsia="Calibri" w:hAnsi="Calibri"/>
                <w:b/>
                <w:bCs/>
                <w:i w:val="false"/>
                <w:iCs w:val="false"/>
                <w:color w:val="001141"/>
                <w:sz w:val="19"/>
                <w:szCs w:val="19"/>
              </w:rPr>
              <w:t xml:space="preserve">Triage</w:t>
            </w:r>
          </w:p>
          <w:p>
            <w:pPr>
              <w:spacing w:after="30" w:before="0"/>
              <w:jc w:val="center"/>
            </w:pPr>
            <w:r>
              <w:rPr>
                <w:rFonts w:ascii="Calibri" w:cs="Calibri" w:eastAsia="Calibri" w:hAnsi="Calibri"/>
                <w:b w:val="false"/>
                <w:bCs w:val="false"/>
                <w:i w:val="false"/>
                <w:iCs w:val="false"/>
                <w:color w:val="525252"/>
                <w:sz w:val="17"/>
                <w:szCs w:val="17"/>
              </w:rPr>
              <w:t xml:space="preserve">Impact scoring</w:t>
            </w:r>
          </w:p>
          <w:p>
            <w:pPr>
              <w:spacing w:after="30" w:before="0"/>
              <w:jc w:val="center"/>
            </w:pPr>
            <w:r>
              <w:rPr>
                <w:rFonts w:ascii="Calibri" w:cs="Calibri" w:eastAsia="Calibri" w:hAnsi="Calibri"/>
                <w:b w:val="false"/>
                <w:bCs w:val="false"/>
                <w:i w:val="false"/>
                <w:iCs w:val="false"/>
                <w:color w:val="525252"/>
                <w:sz w:val="17"/>
                <w:szCs w:val="17"/>
              </w:rPr>
              <w:t xml:space="preserve">Route instantly</w:t>
            </w:r>
          </w:p>
          <w:p>
            <w:pPr>
              <w:spacing w:after="60" w:before="0"/>
            </w:pPr>
            <w:r>
              <w:rPr>
                <w:rFonts w:ascii="Calibri" w:cs="Calibri" w:eastAsia="Calibri" w:hAnsi="Calibri"/>
                <w:sz w:val="8"/>
                <w:szCs w:val="8"/>
              </w:rPr>
              <w:t xml:space="preserve"/>
            </w:r>
          </w:p>
        </w:tc>
        <w:tc>
          <w:tcPr>
            <w:tcW w:type="dxa" w:w="1872"/>
            <w:tcBorders>
              <w:top w:val="single" w:color="0043CE" w:sz="16"/>
              <w:left w:val="single" w:color="E0E0E0" w:sz="4"/>
              <w:bottom w:val="single" w:color="E0E0E0" w:sz="4"/>
              <w:right w:val="single" w:color="E0E0E0" w:sz="4"/>
            </w:tcBorders>
            <w:shd w:fill="FFFFFF" w:val="clear"/>
            <w:tcMar>
              <w:top w:type="dxa" w:w="60"/>
              <w:left w:type="dxa" w:w="80"/>
              <w:bottom w:type="dxa" w:w="60"/>
              <w:right w:type="dxa" w:w="80"/>
            </w:tcMar>
          </w:tcPr>
          <w:p>
            <w:pPr>
              <w:spacing w:after="20" w:before="80"/>
              <w:jc w:val="center"/>
            </w:pPr>
            <w:r>
              <w:rPr>
                <w:rFonts w:ascii="Calibri" w:cs="Calibri" w:eastAsia="Calibri" w:hAnsi="Calibri"/>
                <w:b/>
                <w:bCs/>
                <w:i w:val="false"/>
                <w:iCs w:val="false"/>
                <w:color w:val="0043CE"/>
                <w:sz w:val="14"/>
                <w:szCs w:val="14"/>
              </w:rPr>
              <w:t xml:space="preserve">STEP 3</w:t>
            </w:r>
          </w:p>
          <w:p>
            <w:pPr>
              <w:spacing w:after="60" w:before="0"/>
              <w:jc w:val="center"/>
            </w:pPr>
            <w:r>
              <w:rPr>
                <w:rFonts w:ascii="Calibri" w:cs="Calibri" w:eastAsia="Calibri" w:hAnsi="Calibri"/>
                <w:b/>
                <w:bCs/>
                <w:i w:val="false"/>
                <w:iCs w:val="false"/>
                <w:color w:val="001141"/>
                <w:sz w:val="19"/>
                <w:szCs w:val="19"/>
              </w:rPr>
              <w:t xml:space="preserve">Diagnose</w:t>
            </w:r>
          </w:p>
          <w:p>
            <w:pPr>
              <w:spacing w:after="30" w:before="0"/>
              <w:jc w:val="center"/>
            </w:pPr>
            <w:r>
              <w:rPr>
                <w:rFonts w:ascii="Calibri" w:cs="Calibri" w:eastAsia="Calibri" w:hAnsi="Calibri"/>
                <w:b w:val="false"/>
                <w:bCs w:val="false"/>
                <w:i w:val="false"/>
                <w:iCs w:val="false"/>
                <w:color w:val="525252"/>
                <w:sz w:val="17"/>
                <w:szCs w:val="17"/>
              </w:rPr>
              <w:t xml:space="preserve">Root cause</w:t>
            </w:r>
          </w:p>
          <w:p>
            <w:pPr>
              <w:spacing w:after="30" w:before="0"/>
              <w:jc w:val="center"/>
            </w:pPr>
            <w:r>
              <w:rPr>
                <w:rFonts w:ascii="Calibri" w:cs="Calibri" w:eastAsia="Calibri" w:hAnsi="Calibri"/>
                <w:b w:val="false"/>
                <w:bCs w:val="false"/>
                <w:i w:val="false"/>
                <w:iCs w:val="false"/>
                <w:color w:val="525252"/>
                <w:sz w:val="17"/>
                <w:szCs w:val="17"/>
              </w:rPr>
              <w:t xml:space="preserve">in minutes</w:t>
            </w:r>
          </w:p>
          <w:p>
            <w:pPr>
              <w:spacing w:after="60" w:before="0"/>
            </w:pPr>
            <w:r>
              <w:rPr>
                <w:rFonts w:ascii="Calibri" w:cs="Calibri" w:eastAsia="Calibri" w:hAnsi="Calibri"/>
                <w:sz w:val="8"/>
                <w:szCs w:val="8"/>
              </w:rPr>
              <w:t xml:space="preserve"/>
            </w:r>
          </w:p>
        </w:tc>
        <w:tc>
          <w:tcPr>
            <w:tcW w:type="dxa" w:w="1872"/>
            <w:tcBorders>
              <w:top w:val="single" w:color="007D79" w:sz="16"/>
              <w:left w:val="single" w:color="E0E0E0" w:sz="4"/>
              <w:bottom w:val="single" w:color="E0E0E0" w:sz="4"/>
              <w:right w:val="single" w:color="E0E0E0" w:sz="4"/>
            </w:tcBorders>
            <w:shd w:fill="FFFFFF" w:val="clear"/>
            <w:tcMar>
              <w:top w:type="dxa" w:w="60"/>
              <w:left w:type="dxa" w:w="80"/>
              <w:bottom w:type="dxa" w:w="60"/>
              <w:right w:type="dxa" w:w="80"/>
            </w:tcMar>
          </w:tcPr>
          <w:p>
            <w:pPr>
              <w:spacing w:after="20" w:before="80"/>
              <w:jc w:val="center"/>
            </w:pPr>
            <w:r>
              <w:rPr>
                <w:rFonts w:ascii="Calibri" w:cs="Calibri" w:eastAsia="Calibri" w:hAnsi="Calibri"/>
                <w:b/>
                <w:bCs/>
                <w:i w:val="false"/>
                <w:iCs w:val="false"/>
                <w:color w:val="007D79"/>
                <w:sz w:val="14"/>
                <w:szCs w:val="14"/>
              </w:rPr>
              <w:t xml:space="preserve">STEP 4</w:t>
            </w:r>
          </w:p>
          <w:p>
            <w:pPr>
              <w:spacing w:after="60" w:before="0"/>
              <w:jc w:val="center"/>
            </w:pPr>
            <w:r>
              <w:rPr>
                <w:rFonts w:ascii="Calibri" w:cs="Calibri" w:eastAsia="Calibri" w:hAnsi="Calibri"/>
                <w:b/>
                <w:bCs/>
                <w:i w:val="false"/>
                <w:iCs w:val="false"/>
                <w:color w:val="001141"/>
                <w:sz w:val="19"/>
                <w:szCs w:val="19"/>
              </w:rPr>
              <w:t xml:space="preserve">Resolve</w:t>
            </w:r>
          </w:p>
          <w:p>
            <w:pPr>
              <w:spacing w:after="30" w:before="0"/>
              <w:jc w:val="center"/>
            </w:pPr>
            <w:r>
              <w:rPr>
                <w:rFonts w:ascii="Calibri" w:cs="Calibri" w:eastAsia="Calibri" w:hAnsi="Calibri"/>
                <w:b w:val="false"/>
                <w:bCs w:val="false"/>
                <w:i w:val="false"/>
                <w:iCs w:val="false"/>
                <w:color w:val="525252"/>
                <w:sz w:val="17"/>
                <w:szCs w:val="17"/>
              </w:rPr>
              <w:t xml:space="preserve">Self-heal P3/P4</w:t>
            </w:r>
          </w:p>
          <w:p>
            <w:pPr>
              <w:spacing w:after="30" w:before="0"/>
              <w:jc w:val="center"/>
            </w:pPr>
            <w:r>
              <w:rPr>
                <w:rFonts w:ascii="Calibri" w:cs="Calibri" w:eastAsia="Calibri" w:hAnsi="Calibri"/>
                <w:b w:val="false"/>
                <w:bCs w:val="false"/>
                <w:i w:val="false"/>
                <w:iCs w:val="false"/>
                <w:color w:val="525252"/>
                <w:sz w:val="17"/>
                <w:szCs w:val="17"/>
              </w:rPr>
              <w:t xml:space="preserve">Zero touch</w:t>
            </w:r>
          </w:p>
          <w:p>
            <w:pPr>
              <w:spacing w:after="60" w:before="0"/>
            </w:pPr>
            <w:r>
              <w:rPr>
                <w:rFonts w:ascii="Calibri" w:cs="Calibri" w:eastAsia="Calibri" w:hAnsi="Calibri"/>
                <w:sz w:val="8"/>
                <w:szCs w:val="8"/>
              </w:rPr>
              <w:t xml:space="preserve"/>
            </w:r>
          </w:p>
        </w:tc>
        <w:tc>
          <w:tcPr>
            <w:tcW w:type="dxa" w:w="1872"/>
            <w:tcBorders>
              <w:top w:val="single" w:color="005D5D" w:sz="16"/>
              <w:left w:val="single" w:color="E0E0E0" w:sz="4"/>
              <w:bottom w:val="single" w:color="E0E0E0" w:sz="4"/>
              <w:right w:val="single" w:color="E0E0E0" w:sz="4"/>
            </w:tcBorders>
            <w:shd w:fill="FFFFFF" w:val="clear"/>
            <w:tcMar>
              <w:top w:type="dxa" w:w="60"/>
              <w:left w:type="dxa" w:w="80"/>
              <w:bottom w:type="dxa" w:w="60"/>
              <w:right w:type="dxa" w:w="80"/>
            </w:tcMar>
          </w:tcPr>
          <w:p>
            <w:pPr>
              <w:spacing w:after="20" w:before="80"/>
              <w:jc w:val="center"/>
            </w:pPr>
            <w:r>
              <w:rPr>
                <w:rFonts w:ascii="Calibri" w:cs="Calibri" w:eastAsia="Calibri" w:hAnsi="Calibri"/>
                <w:b/>
                <w:bCs/>
                <w:i w:val="false"/>
                <w:iCs w:val="false"/>
                <w:color w:val="005D5D"/>
                <w:sz w:val="14"/>
                <w:szCs w:val="14"/>
              </w:rPr>
              <w:t xml:space="preserve">STEP 5</w:t>
            </w:r>
          </w:p>
          <w:p>
            <w:pPr>
              <w:spacing w:after="60" w:before="0"/>
              <w:jc w:val="center"/>
            </w:pPr>
            <w:r>
              <w:rPr>
                <w:rFonts w:ascii="Calibri" w:cs="Calibri" w:eastAsia="Calibri" w:hAnsi="Calibri"/>
                <w:b/>
                <w:bCs/>
                <w:i w:val="false"/>
                <w:iCs w:val="false"/>
                <w:color w:val="001141"/>
                <w:sz w:val="19"/>
                <w:szCs w:val="19"/>
              </w:rPr>
              <w:t xml:space="preserve">Learn</w:t>
            </w:r>
          </w:p>
          <w:p>
            <w:pPr>
              <w:spacing w:after="30" w:before="0"/>
              <w:jc w:val="center"/>
            </w:pPr>
            <w:r>
              <w:rPr>
                <w:rFonts w:ascii="Calibri" w:cs="Calibri" w:eastAsia="Calibri" w:hAnsi="Calibri"/>
                <w:b w:val="false"/>
                <w:bCs w:val="false"/>
                <w:i w:val="false"/>
                <w:iCs w:val="false"/>
                <w:color w:val="525252"/>
                <w:sz w:val="17"/>
                <w:szCs w:val="17"/>
              </w:rPr>
              <w:t xml:space="preserve">Update runbooks</w:t>
            </w:r>
          </w:p>
          <w:p>
            <w:pPr>
              <w:spacing w:after="30" w:before="0"/>
              <w:jc w:val="center"/>
            </w:pPr>
            <w:r>
              <w:rPr>
                <w:rFonts w:ascii="Calibri" w:cs="Calibri" w:eastAsia="Calibri" w:hAnsi="Calibri"/>
                <w:b w:val="false"/>
                <w:bCs w:val="false"/>
                <w:i w:val="false"/>
                <w:iCs w:val="false"/>
                <w:color w:val="525252"/>
                <w:sz w:val="17"/>
                <w:szCs w:val="17"/>
              </w:rPr>
              <w:t xml:space="preserve">Prevent repeat</w:t>
            </w:r>
          </w:p>
          <w:p>
            <w:pPr>
              <w:spacing w:after="60" w:before="0"/>
            </w:pPr>
            <w:r>
              <w:rPr>
                <w:rFonts w:ascii="Calibri" w:cs="Calibri" w:eastAsia="Calibri" w:hAnsi="Calibri"/>
                <w:sz w:val="8"/>
                <w:szCs w:val="8"/>
              </w:rPr>
              <w:t xml:space="preserve"/>
            </w:r>
          </w:p>
        </w:tc>
      </w:tr>
    </w:tbl>
    <w:p>
      <w:pPr>
        <w:spacing w:after="80" w:before="0"/>
      </w:pPr>
      <w:r>
        <w:rPr>
          <w:rFonts w:ascii="Calibri" w:cs="Calibri" w:eastAsia="Calibri" w:hAnsi="Calibri"/>
          <w:sz w:val="8"/>
          <w:szCs w:val="8"/>
        </w:rPr>
        <w:t xml:space="preserve"/>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tblGrid>
      <w:tr>
        <w:tc>
          <w:tcPr>
            <w:tcW w:type="dxa" w:w="2340"/>
            <w:tcBorders>
              <w:top w:val="single" w:color="0F62FE"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0F62FE"/>
                <w:sz w:val="48"/>
                <w:szCs w:val="48"/>
              </w:rPr>
              <w:t xml:space="preserve">&gt;74%</w:t>
            </w:r>
          </w:p>
          <w:p>
            <w:pPr>
              <w:spacing w:after="120" w:before="0"/>
              <w:jc w:val="center"/>
            </w:pPr>
            <w:r>
              <w:rPr>
                <w:rFonts w:ascii="Calibri" w:cs="Calibri" w:eastAsia="Calibri" w:hAnsi="Calibri"/>
                <w:b/>
                <w:bCs/>
                <w:i w:val="false"/>
                <w:iCs w:val="false"/>
                <w:color w:val="001141"/>
                <w:sz w:val="17"/>
                <w:szCs w:val="17"/>
              </w:rPr>
              <w:t xml:space="preserve">P3/P4 Auto-Resolved</w:t>
            </w:r>
          </w:p>
        </w:tc>
        <w:tc>
          <w:tcPr>
            <w:tcW w:type="dxa" w:w="2340"/>
            <w:tcBorders>
              <w:top w:val="single" w:color="007D79"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007D79"/>
                <w:sz w:val="48"/>
                <w:szCs w:val="48"/>
              </w:rPr>
              <w:t xml:space="preserve">&gt;60%</w:t>
            </w:r>
          </w:p>
          <w:p>
            <w:pPr>
              <w:spacing w:after="120" w:before="0"/>
              <w:jc w:val="center"/>
            </w:pPr>
            <w:r>
              <w:rPr>
                <w:rFonts w:ascii="Calibri" w:cs="Calibri" w:eastAsia="Calibri" w:hAnsi="Calibri"/>
                <w:b/>
                <w:bCs/>
                <w:i w:val="false"/>
                <w:iCs w:val="false"/>
                <w:color w:val="001141"/>
                <w:sz w:val="17"/>
                <w:szCs w:val="17"/>
              </w:rPr>
              <w:t xml:space="preserve">Alert Noise Reduced</w:t>
            </w:r>
          </w:p>
        </w:tc>
        <w:tc>
          <w:tcPr>
            <w:tcW w:type="dxa" w:w="2340"/>
            <w:tcBorders>
              <w:top w:val="single" w:color="0043CE"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0043CE"/>
                <w:sz w:val="48"/>
                <w:szCs w:val="48"/>
              </w:rPr>
              <w:t xml:space="preserve">99.9%+</w:t>
            </w:r>
          </w:p>
          <w:p>
            <w:pPr>
              <w:spacing w:after="120" w:before="0"/>
              <w:jc w:val="center"/>
            </w:pPr>
            <w:r>
              <w:rPr>
                <w:rFonts w:ascii="Calibri" w:cs="Calibri" w:eastAsia="Calibri" w:hAnsi="Calibri"/>
                <w:b/>
                <w:bCs/>
                <w:i w:val="false"/>
                <w:iCs w:val="false"/>
                <w:color w:val="001141"/>
                <w:sz w:val="17"/>
                <w:szCs w:val="17"/>
              </w:rPr>
              <w:t xml:space="preserve">Availability Target</w:t>
            </w:r>
          </w:p>
        </w:tc>
        <w:tc>
          <w:tcPr>
            <w:tcW w:type="dxa" w:w="2340"/>
            <w:tcBorders>
              <w:top w:val="single" w:color="6929C4"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6929C4"/>
                <w:sz w:val="48"/>
                <w:szCs w:val="48"/>
              </w:rPr>
              <w:t xml:space="preserve">&lt;1.8 hrs</w:t>
            </w:r>
          </w:p>
          <w:p>
            <w:pPr>
              <w:spacing w:after="120" w:before="0"/>
              <w:jc w:val="center"/>
            </w:pPr>
            <w:r>
              <w:rPr>
                <w:rFonts w:ascii="Calibri" w:cs="Calibri" w:eastAsia="Calibri" w:hAnsi="Calibri"/>
                <w:b/>
                <w:bCs/>
                <w:i w:val="false"/>
                <w:iCs w:val="false"/>
                <w:color w:val="001141"/>
                <w:sz w:val="17"/>
                <w:szCs w:val="17"/>
              </w:rPr>
              <w:t xml:space="preserve">Mean Time to Resolve</w:t>
            </w:r>
          </w:p>
        </w:tc>
      </w:tr>
    </w:tbl>
    <w:p>
      <w:pPr>
        <w:sectPr>
          <w:headerReference w:type="default" r:id="rId29"/>
          <w:footerReference w:type="default" r:id="rId30"/>
          <w:type w:val="continuous"/>
          <w:pgSz w:w="11906" w:h="16838" w:orient="portrait"/>
          <w:pgMar w:top="1152" w:right="1296" w:bottom="936" w:left="1296" w:header="708" w:footer="708" w:gutter="0"/>
          <w:pgNumType/>
          <w:cols w:num="1"/>
          <w:docGrid w:linePitch="360"/>
        </w:sectPr>
      </w:pPr>
    </w:p>
    <w:p>
      <w:pPr>
        <w:pBdr>
          <w:top w:val="single" w:color="0F62FE" w:sz="18" w:space="8"/>
        </w:pBdr>
        <w:spacing w:after="60" w:before="0"/>
      </w:pPr>
    </w:p>
    <w:p>
      <w:pPr>
        <w:spacing w:after="40" w:before="0"/>
      </w:pPr>
      <w:r>
        <w:rPr>
          <w:rFonts w:ascii="Calibri" w:cs="Calibri" w:eastAsia="Calibri" w:hAnsi="Calibri"/>
          <w:b/>
          <w:bCs/>
          <w:i w:val="false"/>
          <w:iCs w:val="false"/>
          <w:color w:val="0F62FE"/>
          <w:sz w:val="18"/>
          <w:szCs w:val="18"/>
        </w:rPr>
        <w:t xml:space="preserve">05  </w:t>
      </w:r>
      <w:r>
        <w:rPr>
          <w:rFonts w:ascii="Calibri" w:cs="Calibri" w:eastAsia="Calibri" w:hAnsi="Calibri"/>
          <w:b/>
          <w:bCs/>
          <w:i w:val="false"/>
          <w:iCs w:val="false"/>
          <w:color w:val="001141"/>
          <w:sz w:val="32"/>
          <w:szCs w:val="32"/>
        </w:rPr>
        <w:t xml:space="preserve">Quality Engineering</w:t>
      </w:r>
    </w:p>
    <w:p>
      <w:pPr>
        <w:spacing w:after="120" w:before="0"/>
      </w:pPr>
      <w:r>
        <w:rPr>
          <w:rFonts w:ascii="Calibri" w:cs="Calibri" w:eastAsia="Calibri" w:hAnsi="Calibri"/>
          <w:b w:val="false"/>
          <w:bCs w:val="false"/>
          <w:i/>
          <w:iCs/>
          <w:color w:val="8D8D8D"/>
          <w:sz w:val="19"/>
          <w:szCs w:val="19"/>
        </w:rPr>
        <w:t xml:space="preserve">Measurable Quality at Every Milestone — Improved with Every Release</w:t>
      </w:r>
    </w:p>
    <w:p>
      <w:pPr>
        <w:spacing w:after="60" w:before="0"/>
      </w:pPr>
      <w:r>
        <w:rPr>
          <w:rFonts w:ascii="Calibri" w:cs="Calibri" w:eastAsia="Calibri" w:hAnsi="Calibri"/>
          <w:sz w:val="8"/>
          <w:szCs w:val="8"/>
        </w:rPr>
        <w:t xml:space="preserve"/>
      </w:r>
    </w:p>
    <w:p>
      <w:pPr>
        <w:pBdr>
          <w:left w:val="single" w:color="0F62FE" w:sz="18" w:space="10"/>
        </w:pBdr>
        <w:spacing w:after="20" w:before="40"/>
        <w:ind w:left="504"/>
      </w:pPr>
      <w:r>
        <w:rPr>
          <w:rFonts w:ascii="Calibri" w:cs="Calibri" w:eastAsia="Calibri" w:hAnsi="Calibri"/>
          <w:b w:val="false"/>
          <w:bCs w:val="false"/>
          <w:i/>
          <w:iCs/>
          <w:color w:val="001141"/>
          <w:sz w:val="21"/>
          <w:szCs w:val="21"/>
        </w:rPr>
        <w:t xml:space="preserve">“Every undetected defect in a claims system is a patient who doesn’t get care on time. Every missed test is a provider who submits correctly and gets denied. Quality is not a phase. Quality is the promise.”</w:t>
      </w:r>
    </w:p>
    <w:p>
      <w:pPr>
        <w:spacing w:after="100" w:before="0"/>
        <w:jc w:val="right"/>
      </w:pPr>
      <w:r>
        <w:rPr>
          <w:rFonts w:ascii="Calibri" w:cs="Calibri" w:eastAsia="Calibri" w:hAnsi="Calibri"/>
          <w:b/>
          <w:bCs/>
          <w:i w:val="false"/>
          <w:iCs w:val="false"/>
          <w:color w:val="0F62FE"/>
          <w:sz w:val="17"/>
          <w:szCs w:val="17"/>
        </w:rPr>
        <w:t xml:space="preserve">— IBM Quality Engineering</w:t>
      </w:r>
    </w:p>
    <w:p>
      <w:pPr>
        <w:sectPr>
          <w:headerReference w:type="default" r:id="rId31"/>
          <w:footerReference w:type="default" r:id="rId32"/>
          <w:type w:val="nextPage"/>
          <w:pgSz w:w="11906" w:h="16838" w:orient="portrait"/>
          <w:pgMar w:top="1152" w:right="1296" w:bottom="936" w:left="1296" w:header="708" w:footer="708" w:gutter="0"/>
          <w:pgNumType/>
          <w:cols w:num="1"/>
          <w:docGrid w:linePitch="360"/>
        </w:sectPr>
      </w:pPr>
    </w:p>
    <w:p>
      <w:pPr>
        <w:spacing w:after="60" w:before="40"/>
      </w:pPr>
      <w:r>
        <w:rPr>
          <w:rFonts w:ascii="Calibri" w:cs="Calibri" w:eastAsia="Calibri" w:hAnsi="Calibri"/>
          <w:b/>
          <w:bCs/>
          <w:i w:val="false"/>
          <w:iCs w:val="false"/>
          <w:color w:val="001141"/>
          <w:sz w:val="22"/>
          <w:szCs w:val="22"/>
        </w:rPr>
        <w:t xml:space="preserve">Self-Improving Framework</w:t>
      </w:r>
    </w:p>
    <w:p>
      <w:pPr>
        <w:spacing w:after="80" w:before="0"/>
      </w:pPr>
      <w:r>
        <w:rPr>
          <w:rFonts w:ascii="Calibri" w:cs="Calibri" w:eastAsia="Calibri" w:hAnsi="Calibri"/>
          <w:b w:val="false"/>
          <w:bCs w:val="false"/>
          <w:i w:val="false"/>
          <w:iCs w:val="false"/>
          <w:color w:val="525252"/>
          <w:sz w:val="20"/>
          <w:szCs w:val="20"/>
        </w:rPr>
        <w:t xml:space="preserve">Closed-loop feedback within CI/CD. Production insights, defect analytics, and automation metrics continuously refine testing — sustaining defect reduction with every release across ~1,000 applications.</w:t>
      </w:r>
    </w:p>
    <w:p>
      <w:pPr>
        <w:spacing w:after="60" w:before="80"/>
      </w:pPr>
      <w:r>
        <w:rPr>
          <w:rFonts w:ascii="Calibri" w:cs="Calibri" w:eastAsia="Calibri" w:hAnsi="Calibri"/>
          <w:b/>
          <w:bCs/>
          <w:i w:val="false"/>
          <w:iCs w:val="false"/>
          <w:color w:val="001141"/>
          <w:sz w:val="22"/>
          <w:szCs w:val="22"/>
        </w:rPr>
        <w:t xml:space="preserve">AI-Powered Capabilities</w:t>
      </w:r>
    </w:p>
    <w:p>
      <w:pPr>
        <w:spacing w:after="40" w:before="100"/>
      </w:pPr>
      <w:r>
        <w:rPr>
          <w:rFonts w:ascii="Calibri" w:cs="Calibri" w:eastAsia="Calibri" w:hAnsi="Calibri"/>
          <w:b/>
          <w:bCs/>
          <w:i w:val="false"/>
          <w:iCs w:val="false"/>
          <w:color w:val="0F62FE"/>
          <w:sz w:val="20"/>
          <w:szCs w:val="20"/>
        </w:rPr>
        <w:t xml:space="preserve">GenAI Test Generation</w:t>
      </w:r>
    </w:p>
    <w:p>
      <w:pPr>
        <w:spacing w:after="80" w:before="0"/>
      </w:pPr>
      <w:r>
        <w:rPr>
          <w:rFonts w:ascii="Calibri" w:cs="Calibri" w:eastAsia="Calibri" w:hAnsi="Calibri"/>
          <w:b w:val="false"/>
          <w:bCs w:val="false"/>
          <w:i w:val="false"/>
          <w:iCs w:val="false"/>
          <w:color w:val="525252"/>
          <w:sz w:val="19"/>
          <w:szCs w:val="19"/>
        </w:rPr>
        <w:t xml:space="preserve">AI synthesises tests from code changes at commit speed. Coverage grows without manual test plans.</w:t>
      </w:r>
    </w:p>
    <w:p>
      <w:pPr>
        <w:spacing w:after="40" w:before="100"/>
      </w:pPr>
      <w:r>
        <w:rPr>
          <w:rFonts w:ascii="Calibri" w:cs="Calibri" w:eastAsia="Calibri" w:hAnsi="Calibri"/>
          <w:b/>
          <w:bCs/>
          <w:i w:val="false"/>
          <w:iCs w:val="false"/>
          <w:color w:val="0F62FE"/>
          <w:sz w:val="20"/>
          <w:szCs w:val="20"/>
        </w:rPr>
        <w:t xml:space="preserve">Defect Prediction</w:t>
      </w:r>
    </w:p>
    <w:p>
      <w:pPr>
        <w:spacing w:after="80" w:before="0"/>
      </w:pPr>
      <w:r>
        <w:rPr>
          <w:rFonts w:ascii="Calibri" w:cs="Calibri" w:eastAsia="Calibri" w:hAnsi="Calibri"/>
          <w:b w:val="false"/>
          <w:bCs w:val="false"/>
          <w:i w:val="false"/>
          <w:iCs w:val="false"/>
          <w:color w:val="525252"/>
          <w:sz w:val="19"/>
          <w:szCs w:val="19"/>
        </w:rPr>
        <w:t xml:space="preserve">Models trained on Horizon’s incident history identify high-risk paths before UAT.</w:t>
      </w:r>
    </w:p>
    <w:p>
      <w:pPr>
        <w:spacing w:after="40" w:before="100"/>
      </w:pPr>
      <w:r>
        <w:rPr>
          <w:rFonts w:ascii="Calibri" w:cs="Calibri" w:eastAsia="Calibri" w:hAnsi="Calibri"/>
          <w:b/>
          <w:bCs/>
          <w:i w:val="false"/>
          <w:iCs w:val="false"/>
          <w:color w:val="0F62FE"/>
          <w:sz w:val="20"/>
          <w:szCs w:val="20"/>
        </w:rPr>
        <w:t xml:space="preserve">Production Feedback Loop</w:t>
      </w:r>
    </w:p>
    <w:p>
      <w:pPr>
        <w:spacing w:after="80" w:before="0"/>
      </w:pPr>
      <w:r>
        <w:rPr>
          <w:rFonts w:ascii="Calibri" w:cs="Calibri" w:eastAsia="Calibri" w:hAnsi="Calibri"/>
          <w:b w:val="false"/>
          <w:bCs w:val="false"/>
          <w:i w:val="false"/>
          <w:iCs w:val="false"/>
          <w:color w:val="525252"/>
          <w:sz w:val="19"/>
          <w:szCs w:val="19"/>
        </w:rPr>
        <w:t xml:space="preserve">Every production defect teaches the engine. The net tightens automatically every release.</w:t>
      </w:r>
    </w:p>
    <w:p>
      <w:r>
        <w:rPr>
          <w:rFonts w:ascii="Calibri" w:cs="Calibri" w:eastAsia="Calibri" w:hAnsi="Calibri"/>
          <w:sz w:val="4"/>
          <w:szCs w:val="4"/>
        </w:rPr>
        <w:r>
          <w:br w:type="column"/>
        </w:r>
      </w:r>
    </w:p>
    <w:p>
      <w:pPr>
        <w:spacing w:after="60" w:before="40"/>
      </w:pPr>
      <w:r>
        <w:rPr>
          <w:rFonts w:ascii="Calibri" w:cs="Calibri" w:eastAsia="Calibri" w:hAnsi="Calibri"/>
          <w:b/>
          <w:bCs/>
          <w:i w:val="false"/>
          <w:iCs w:val="false"/>
          <w:color w:val="001141"/>
          <w:sz w:val="22"/>
          <w:szCs w:val="22"/>
        </w:rPr>
        <w:t xml:space="preserve">Quality Controls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End-to-end traceability and release readiness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Defect leakage, density, stability metrics (MTTR)</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Automation coverage with KPI governance</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AI-driven defect insights and regression optimisation</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Production telemetry feeding back into test strategy</w:t>
      </w:r>
    </w:p>
    <w:p>
      <w:pPr>
        <w:spacing w:after="40" w:before="0"/>
      </w:pPr>
      <w:r>
        <w:rPr>
          <w:rFonts w:ascii="Calibri" w:cs="Calibri" w:eastAsia="Calibri" w:hAnsi="Calibri"/>
          <w:sz w:val="8"/>
          <w:szCs w:val="8"/>
        </w:rPr>
        <w:t xml:space="preserve"/>
      </w:r>
    </w:p>
    <w:p>
      <w:pPr>
        <w:shd w:fill="EBF2FF" w:val="clear"/>
        <w:spacing w:after="100" w:before="100"/>
        <w:ind w:left="288" w:right="288"/>
      </w:pPr>
      <w:r>
        <w:rPr>
          <w:rFonts w:ascii="Calibri" w:cs="Calibri" w:eastAsia="Calibri" w:hAnsi="Calibri"/>
          <w:b/>
          <w:bCs/>
          <w:i w:val="false"/>
          <w:iCs w:val="false"/>
          <w:color w:val="001141"/>
          <w:sz w:val="20"/>
          <w:szCs w:val="20"/>
        </w:rPr>
        <w:t xml:space="preserve">Target: 80%+ test automation in 12 months</w:t>
      </w:r>
    </w:p>
    <w:p>
      <w:pPr>
        <w:spacing w:after="40" w:before="0"/>
      </w:pPr>
      <w:r>
        <w:rPr>
          <w:rFonts w:ascii="Calibri" w:cs="Calibri" w:eastAsia="Calibri" w:hAnsi="Calibri"/>
          <w:sz w:val="8"/>
          <w:szCs w:val="8"/>
        </w:rPr>
        <w:t xml:space="preserve"/>
      </w:r>
    </w:p>
    <w:p>
      <w:pPr>
        <w:spacing w:after="60" w:before="40"/>
      </w:pPr>
      <w:r>
        <w:rPr>
          <w:rFonts w:ascii="Calibri" w:cs="Calibri" w:eastAsia="Calibri" w:hAnsi="Calibri"/>
          <w:b/>
          <w:bCs/>
          <w:i w:val="false"/>
          <w:iCs w:val="false"/>
          <w:color w:val="001141"/>
          <w:sz w:val="22"/>
          <w:szCs w:val="22"/>
        </w:rPr>
        <w:t xml:space="preserve">Coverage Journey</w:t>
      </w:r>
    </w:p>
    <w:tbl>
      <w:tblPr>
        <w:tblW w:type="dxa" w:w="450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tblGrid>
      <w:tr>
        <w:tc>
          <w:tcPr>
            <w:tcW w:type="dxa" w:w="1350"/>
            <w:tcBorders>
              <w:top w:val="none" w:color="auto" w:sz="0"/>
              <w:left w:val="none" w:color="auto" w:sz="0"/>
              <w:bottom w:val="none" w:color="auto" w:sz="0"/>
              <w:right w:val="none" w:color="auto" w:sz="0"/>
            </w:tcBorders>
            <w:shd w:fill="FFFFFF" w:val="clear"/>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Month 0</w:t>
            </w:r>
          </w:p>
        </w:tc>
        <w:tc>
          <w:tcPr>
            <w:tcW w:type="dxa" w:w="653"/>
            <w:tcBorders>
              <w:top w:val="none" w:color="auto" w:sz="0"/>
              <w:left w:val="none" w:color="auto" w:sz="0"/>
              <w:bottom w:val="none" w:color="auto" w:sz="0"/>
              <w:right w:val="none" w:color="auto" w:sz="0"/>
            </w:tcBorders>
            <w:shd w:fill="8D8D8D" w:val="clear"/>
          </w:tcPr>
          <w:p>
            <w:pPr>
              <w:spacing w:after="0" w:before="0"/>
            </w:pPr>
            <w:r>
              <w:rPr>
                <w:rFonts w:ascii="Calibri" w:cs="Calibri" w:eastAsia="Calibri" w:hAnsi="Calibri"/>
                <w:sz w:val="8"/>
                <w:szCs w:val="8"/>
              </w:rPr>
              <w:t xml:space="preserve"/>
            </w:r>
          </w:p>
        </w:tc>
        <w:tc>
          <w:tcPr>
            <w:tcW w:type="dxa" w:w="1957"/>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8"/>
                <w:szCs w:val="8"/>
              </w:rPr>
              <w:t xml:space="preserve"/>
            </w:r>
          </w:p>
        </w:tc>
        <w:tc>
          <w:tcPr>
            <w:tcW w:type="dxa" w:w="540"/>
            <w:tcBorders>
              <w:top w:val="none" w:color="auto" w:sz="0"/>
              <w:left w:val="none" w:color="auto" w:sz="0"/>
              <w:bottom w:val="none" w:color="auto" w:sz="0"/>
              <w:right w:val="none" w:color="auto" w:sz="0"/>
            </w:tcBorders>
            <w:shd w:fill="FFFFFF" w:val="clear"/>
            <w:tcMar>
              <w:top w:type="dxa" w:w="40"/>
              <w:left w:type="dxa" w:w="80"/>
              <w:bottom w:type="dxa" w:w="40"/>
            </w:tcMar>
            <w:vAlign w:val="center"/>
          </w:tcPr>
          <w:p>
            <w:pPr>
              <w:spacing w:after="0" w:before="0"/>
              <w:jc w:val="right"/>
            </w:pPr>
            <w:r>
              <w:rPr>
                <w:rFonts w:ascii="Calibri" w:cs="Calibri" w:eastAsia="Calibri" w:hAnsi="Calibri"/>
                <w:b/>
                <w:bCs/>
                <w:i w:val="false"/>
                <w:iCs w:val="false"/>
                <w:color w:val="8D8D8D"/>
                <w:sz w:val="18"/>
                <w:szCs w:val="18"/>
              </w:rPr>
              <w:t xml:space="preserve">~25%</w:t>
            </w:r>
          </w:p>
        </w:tc>
      </w:tr>
      <w:tr>
        <w:tc>
          <w:tcPr>
            <w:tcW w:type="dxa" w:w="1350"/>
            <w:tcBorders>
              <w:top w:val="none" w:color="auto" w:sz="0"/>
              <w:left w:val="none" w:color="auto" w:sz="0"/>
              <w:bottom w:val="none" w:color="auto" w:sz="0"/>
              <w:right w:val="none" w:color="auto" w:sz="0"/>
            </w:tcBorders>
            <w:shd w:fill="FFFFFF" w:val="clear"/>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Month 3</w:t>
            </w:r>
          </w:p>
        </w:tc>
        <w:tc>
          <w:tcPr>
            <w:tcW w:type="dxa" w:w="1175"/>
            <w:tcBorders>
              <w:top w:val="none" w:color="auto" w:sz="0"/>
              <w:left w:val="none" w:color="auto" w:sz="0"/>
              <w:bottom w:val="none" w:color="auto" w:sz="0"/>
              <w:right w:val="none" w:color="auto" w:sz="0"/>
            </w:tcBorders>
            <w:shd w:fill="0072C3" w:val="clear"/>
          </w:tcPr>
          <w:p>
            <w:pPr>
              <w:spacing w:after="0" w:before="0"/>
            </w:pPr>
            <w:r>
              <w:rPr>
                <w:rFonts w:ascii="Calibri" w:cs="Calibri" w:eastAsia="Calibri" w:hAnsi="Calibri"/>
                <w:sz w:val="8"/>
                <w:szCs w:val="8"/>
              </w:rPr>
              <w:t xml:space="preserve"/>
            </w:r>
          </w:p>
        </w:tc>
        <w:tc>
          <w:tcPr>
            <w:tcW w:type="dxa" w:w="1435"/>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8"/>
                <w:szCs w:val="8"/>
              </w:rPr>
              <w:t xml:space="preserve"/>
            </w:r>
          </w:p>
        </w:tc>
        <w:tc>
          <w:tcPr>
            <w:tcW w:type="dxa" w:w="540"/>
            <w:tcBorders>
              <w:top w:val="none" w:color="auto" w:sz="0"/>
              <w:left w:val="none" w:color="auto" w:sz="0"/>
              <w:bottom w:val="none" w:color="auto" w:sz="0"/>
              <w:right w:val="none" w:color="auto" w:sz="0"/>
            </w:tcBorders>
            <w:shd w:fill="FFFFFF" w:val="clear"/>
            <w:tcMar>
              <w:top w:type="dxa" w:w="40"/>
              <w:left w:type="dxa" w:w="80"/>
              <w:bottom w:type="dxa" w:w="40"/>
            </w:tcMar>
            <w:vAlign w:val="center"/>
          </w:tcPr>
          <w:p>
            <w:pPr>
              <w:spacing w:after="0" w:before="0"/>
              <w:jc w:val="right"/>
            </w:pPr>
            <w:r>
              <w:rPr>
                <w:rFonts w:ascii="Calibri" w:cs="Calibri" w:eastAsia="Calibri" w:hAnsi="Calibri"/>
                <w:b/>
                <w:bCs/>
                <w:i w:val="false"/>
                <w:iCs w:val="false"/>
                <w:color w:val="0072C3"/>
                <w:sz w:val="18"/>
                <w:szCs w:val="18"/>
              </w:rPr>
              <w:t xml:space="preserve">45%</w:t>
            </w:r>
          </w:p>
        </w:tc>
      </w:tr>
      <w:tr>
        <w:tc>
          <w:tcPr>
            <w:tcW w:type="dxa" w:w="1350"/>
            <w:tcBorders>
              <w:top w:val="none" w:color="auto" w:sz="0"/>
              <w:left w:val="none" w:color="auto" w:sz="0"/>
              <w:bottom w:val="none" w:color="auto" w:sz="0"/>
              <w:right w:val="none" w:color="auto" w:sz="0"/>
            </w:tcBorders>
            <w:shd w:fill="FFFFFF" w:val="clear"/>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Month 6</w:t>
            </w:r>
          </w:p>
        </w:tc>
        <w:tc>
          <w:tcPr>
            <w:tcW w:type="dxa" w:w="1436"/>
            <w:tcBorders>
              <w:top w:val="none" w:color="auto" w:sz="0"/>
              <w:left w:val="none" w:color="auto" w:sz="0"/>
              <w:bottom w:val="none" w:color="auto" w:sz="0"/>
              <w:right w:val="none" w:color="auto" w:sz="0"/>
            </w:tcBorders>
            <w:shd w:fill="0043CE" w:val="clear"/>
          </w:tcPr>
          <w:p>
            <w:pPr>
              <w:spacing w:after="0" w:before="0"/>
            </w:pPr>
            <w:r>
              <w:rPr>
                <w:rFonts w:ascii="Calibri" w:cs="Calibri" w:eastAsia="Calibri" w:hAnsi="Calibri"/>
                <w:sz w:val="8"/>
                <w:szCs w:val="8"/>
              </w:rPr>
              <w:t xml:space="preserve"/>
            </w:r>
          </w:p>
        </w:tc>
        <w:tc>
          <w:tcPr>
            <w:tcW w:type="dxa" w:w="1174"/>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8"/>
                <w:szCs w:val="8"/>
              </w:rPr>
              <w:t xml:space="preserve"/>
            </w:r>
          </w:p>
        </w:tc>
        <w:tc>
          <w:tcPr>
            <w:tcW w:type="dxa" w:w="540"/>
            <w:tcBorders>
              <w:top w:val="none" w:color="auto" w:sz="0"/>
              <w:left w:val="none" w:color="auto" w:sz="0"/>
              <w:bottom w:val="none" w:color="auto" w:sz="0"/>
              <w:right w:val="none" w:color="auto" w:sz="0"/>
            </w:tcBorders>
            <w:shd w:fill="FFFFFF" w:val="clear"/>
            <w:tcMar>
              <w:top w:type="dxa" w:w="40"/>
              <w:left w:type="dxa" w:w="80"/>
              <w:bottom w:type="dxa" w:w="40"/>
            </w:tcMar>
            <w:vAlign w:val="center"/>
          </w:tcPr>
          <w:p>
            <w:pPr>
              <w:spacing w:after="0" w:before="0"/>
              <w:jc w:val="right"/>
            </w:pPr>
            <w:r>
              <w:rPr>
                <w:rFonts w:ascii="Calibri" w:cs="Calibri" w:eastAsia="Calibri" w:hAnsi="Calibri"/>
                <w:b/>
                <w:bCs/>
                <w:i w:val="false"/>
                <w:iCs w:val="false"/>
                <w:color w:val="0043CE"/>
                <w:sz w:val="18"/>
                <w:szCs w:val="18"/>
              </w:rPr>
              <w:t xml:space="preserve">55%</w:t>
            </w:r>
          </w:p>
        </w:tc>
      </w:tr>
      <w:tr>
        <w:tc>
          <w:tcPr>
            <w:tcW w:type="dxa" w:w="1350"/>
            <w:tcBorders>
              <w:top w:val="none" w:color="auto" w:sz="0"/>
              <w:left w:val="none" w:color="auto" w:sz="0"/>
              <w:bottom w:val="none" w:color="auto" w:sz="0"/>
              <w:right w:val="none" w:color="auto" w:sz="0"/>
            </w:tcBorders>
            <w:shd w:fill="FFFFFF" w:val="clear"/>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Month 9</w:t>
            </w:r>
          </w:p>
        </w:tc>
        <w:tc>
          <w:tcPr>
            <w:tcW w:type="dxa" w:w="1879"/>
            <w:tcBorders>
              <w:top w:val="none" w:color="auto" w:sz="0"/>
              <w:left w:val="none" w:color="auto" w:sz="0"/>
              <w:bottom w:val="none" w:color="auto" w:sz="0"/>
              <w:right w:val="none" w:color="auto" w:sz="0"/>
            </w:tcBorders>
            <w:shd w:fill="0F62FE" w:val="clear"/>
          </w:tcPr>
          <w:p>
            <w:pPr>
              <w:spacing w:after="0" w:before="0"/>
            </w:pPr>
            <w:r>
              <w:rPr>
                <w:rFonts w:ascii="Calibri" w:cs="Calibri" w:eastAsia="Calibri" w:hAnsi="Calibri"/>
                <w:sz w:val="8"/>
                <w:szCs w:val="8"/>
              </w:rPr>
              <w:t xml:space="preserve"/>
            </w:r>
          </w:p>
        </w:tc>
        <w:tc>
          <w:tcPr>
            <w:tcW w:type="dxa" w:w="731"/>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8"/>
                <w:szCs w:val="8"/>
              </w:rPr>
              <w:t xml:space="preserve"/>
            </w:r>
          </w:p>
        </w:tc>
        <w:tc>
          <w:tcPr>
            <w:tcW w:type="dxa" w:w="540"/>
            <w:tcBorders>
              <w:top w:val="none" w:color="auto" w:sz="0"/>
              <w:left w:val="none" w:color="auto" w:sz="0"/>
              <w:bottom w:val="none" w:color="auto" w:sz="0"/>
              <w:right w:val="none" w:color="auto" w:sz="0"/>
            </w:tcBorders>
            <w:shd w:fill="FFFFFF" w:val="clear"/>
            <w:tcMar>
              <w:top w:type="dxa" w:w="40"/>
              <w:left w:type="dxa" w:w="80"/>
              <w:bottom w:type="dxa" w:w="40"/>
            </w:tcMar>
            <w:vAlign w:val="center"/>
          </w:tcPr>
          <w:p>
            <w:pPr>
              <w:spacing w:after="0" w:before="0"/>
              <w:jc w:val="right"/>
            </w:pPr>
            <w:r>
              <w:rPr>
                <w:rFonts w:ascii="Calibri" w:cs="Calibri" w:eastAsia="Calibri" w:hAnsi="Calibri"/>
                <w:b/>
                <w:bCs/>
                <w:i w:val="false"/>
                <w:iCs w:val="false"/>
                <w:color w:val="0F62FE"/>
                <w:sz w:val="18"/>
                <w:szCs w:val="18"/>
              </w:rPr>
              <w:t xml:space="preserve">72%</w:t>
            </w:r>
          </w:p>
        </w:tc>
      </w:tr>
      <w:tr>
        <w:tc>
          <w:tcPr>
            <w:tcW w:type="dxa" w:w="1350"/>
            <w:tcBorders>
              <w:top w:val="none" w:color="auto" w:sz="0"/>
              <w:left w:val="none" w:color="auto" w:sz="0"/>
              <w:bottom w:val="none" w:color="auto" w:sz="0"/>
              <w:right w:val="none" w:color="auto" w:sz="0"/>
            </w:tcBorders>
            <w:shd w:fill="FFFFFF" w:val="clear"/>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Month 12</w:t>
            </w:r>
          </w:p>
        </w:tc>
        <w:tc>
          <w:tcPr>
            <w:tcW w:type="dxa" w:w="2140"/>
            <w:tcBorders>
              <w:top w:val="none" w:color="auto" w:sz="0"/>
              <w:left w:val="none" w:color="auto" w:sz="0"/>
              <w:bottom w:val="none" w:color="auto" w:sz="0"/>
              <w:right w:val="none" w:color="auto" w:sz="0"/>
            </w:tcBorders>
            <w:shd w:fill="001141" w:val="clear"/>
          </w:tcPr>
          <w:p>
            <w:pPr>
              <w:spacing w:after="0" w:before="0"/>
            </w:pPr>
            <w:r>
              <w:rPr>
                <w:rFonts w:ascii="Calibri" w:cs="Calibri" w:eastAsia="Calibri" w:hAnsi="Calibri"/>
                <w:sz w:val="8"/>
                <w:szCs w:val="8"/>
              </w:rPr>
              <w:t xml:space="preserve"/>
            </w:r>
          </w:p>
        </w:tc>
        <w:tc>
          <w:tcPr>
            <w:tcW w:type="dxa" w:w="470"/>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8"/>
                <w:szCs w:val="8"/>
              </w:rPr>
              <w:t xml:space="preserve"/>
            </w:r>
          </w:p>
        </w:tc>
        <w:tc>
          <w:tcPr>
            <w:tcW w:type="dxa" w:w="540"/>
            <w:tcBorders>
              <w:top w:val="none" w:color="auto" w:sz="0"/>
              <w:left w:val="none" w:color="auto" w:sz="0"/>
              <w:bottom w:val="none" w:color="auto" w:sz="0"/>
              <w:right w:val="none" w:color="auto" w:sz="0"/>
            </w:tcBorders>
            <w:shd w:fill="FFFFFF" w:val="clear"/>
            <w:tcMar>
              <w:top w:type="dxa" w:w="40"/>
              <w:left w:type="dxa" w:w="80"/>
              <w:bottom w:type="dxa" w:w="40"/>
            </w:tcMar>
            <w:vAlign w:val="center"/>
          </w:tcPr>
          <w:p>
            <w:pPr>
              <w:spacing w:after="0" w:before="0"/>
              <w:jc w:val="right"/>
            </w:pPr>
            <w:r>
              <w:rPr>
                <w:rFonts w:ascii="Calibri" w:cs="Calibri" w:eastAsia="Calibri" w:hAnsi="Calibri"/>
                <w:b/>
                <w:bCs/>
                <w:i w:val="false"/>
                <w:iCs w:val="false"/>
                <w:color w:val="001141"/>
                <w:sz w:val="18"/>
                <w:szCs w:val="18"/>
              </w:rPr>
              <w:t xml:space="preserve">80%+</w:t>
            </w:r>
          </w:p>
        </w:tc>
      </w:tr>
    </w:tbl>
    <w:p>
      <w:pPr>
        <w:sectPr>
          <w:headerReference w:type="default" r:id="rId33"/>
          <w:footerReference w:type="default" r:id="rId34"/>
          <w:type w:val="continuous"/>
          <w:pgSz w:w="11906" w:h="16838" w:orient="portrait"/>
          <w:pgMar w:top="1152" w:right="1296" w:bottom="936" w:left="1296" w:header="708" w:footer="708" w:gutter="0"/>
          <w:pgNumType/>
          <w:cols w:space="504" w:num="2" w:sep="false"/>
          <w:docGrid w:linePitch="360"/>
        </w:sectPr>
      </w:pPr>
    </w:p>
    <w:p>
      <w:pPr>
        <w:spacing w:after="80" w:before="0"/>
      </w:pPr>
      <w:r>
        <w:rPr>
          <w:rFonts w:ascii="Calibri" w:cs="Calibri" w:eastAsia="Calibri" w:hAnsi="Calibri"/>
          <w:sz w:val="8"/>
          <w:szCs w:val="8"/>
        </w:rPr>
        <w:t xml:space="preserve"/>
      </w:r>
    </w:p>
    <w:p>
      <w:pPr>
        <w:spacing w:after="60" w:before="160"/>
      </w:pPr>
      <w:r>
        <w:rPr>
          <w:rFonts w:ascii="Calibri" w:cs="Calibri" w:eastAsia="Calibri" w:hAnsi="Calibri"/>
          <w:b/>
          <w:bCs/>
          <w:i w:val="false"/>
          <w:iCs w:val="false"/>
          <w:color w:val="001141"/>
          <w:sz w:val="22"/>
          <w:szCs w:val="22"/>
        </w:rPr>
        <w:t xml:space="preserve">Quality Metrics — Before &amp; After</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gridCol w:w="100"/>
      </w:tblGrid>
      <w:tr>
        <w:tc>
          <w:tcPr>
            <w:tcW w:type="dxa" w:w="2434"/>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Metric</w:t>
            </w:r>
          </w:p>
        </w:tc>
        <w:tc>
          <w:tcPr>
            <w:tcW w:type="dxa" w:w="1498"/>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Current</w:t>
            </w:r>
          </w:p>
        </w:tc>
        <w:tc>
          <w:tcPr>
            <w:tcW w:type="dxa" w:w="1310"/>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6-Mo</w:t>
            </w:r>
          </w:p>
        </w:tc>
        <w:tc>
          <w:tcPr>
            <w:tcW w:type="dxa" w:w="1310"/>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12-Mo</w:t>
            </w:r>
          </w:p>
        </w:tc>
        <w:tc>
          <w:tcPr>
            <w:tcW w:type="dxa" w:w="2808"/>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Method</w:t>
            </w:r>
          </w:p>
        </w:tc>
      </w:tr>
      <w:tr>
        <w:tc>
          <w:tcPr>
            <w:tcW w:type="dxa" w:w="2434"/>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8"/>
                <w:szCs w:val="18"/>
              </w:rPr>
              <w:t xml:space="preserve">Test Automation</w:t>
            </w:r>
          </w:p>
        </w:tc>
        <w:tc>
          <w:tcPr>
            <w:tcW w:type="dxa" w:w="1498"/>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DA1E28"/>
                <w:sz w:val="18"/>
                <w:szCs w:val="18"/>
              </w:rPr>
              <w:t xml:space="preserve">~25%</w:t>
            </w:r>
          </w:p>
        </w:tc>
        <w:tc>
          <w:tcPr>
            <w:tcW w:type="dxa" w:w="1310"/>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0043CE"/>
                <w:sz w:val="18"/>
                <w:szCs w:val="18"/>
              </w:rPr>
              <w:t xml:space="preserve">55%</w:t>
            </w:r>
          </w:p>
        </w:tc>
        <w:tc>
          <w:tcPr>
            <w:tcW w:type="dxa" w:w="1310"/>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80%+</w:t>
            </w:r>
          </w:p>
        </w:tc>
        <w:tc>
          <w:tcPr>
            <w:tcW w:type="dxa" w:w="2808"/>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GenAI self-generating tests</w:t>
            </w:r>
          </w:p>
        </w:tc>
      </w:tr>
      <w:tr>
        <w:tc>
          <w:tcPr>
            <w:tcW w:type="dxa" w:w="2434"/>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8"/>
                <w:szCs w:val="18"/>
              </w:rPr>
              <w:t xml:space="preserve">Defect Escape</w:t>
            </w:r>
          </w:p>
        </w:tc>
        <w:tc>
          <w:tcPr>
            <w:tcW w:type="dxa" w:w="1498"/>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DA1E28"/>
                <w:sz w:val="18"/>
                <w:szCs w:val="18"/>
              </w:rPr>
              <w:t xml:space="preserve">High</w:t>
            </w:r>
          </w:p>
        </w:tc>
        <w:tc>
          <w:tcPr>
            <w:tcW w:type="dxa" w:w="1310"/>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0043CE"/>
                <w:sz w:val="18"/>
                <w:szCs w:val="18"/>
              </w:rPr>
              <w:t xml:space="preserve">−40%</w:t>
            </w:r>
          </w:p>
        </w:tc>
        <w:tc>
          <w:tcPr>
            <w:tcW w:type="dxa" w:w="1310"/>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−65%</w:t>
            </w:r>
          </w:p>
        </w:tc>
        <w:tc>
          <w:tcPr>
            <w:tcW w:type="dxa" w:w="2808"/>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AI defect prediction</w:t>
            </w:r>
          </w:p>
        </w:tc>
      </w:tr>
      <w:tr>
        <w:tc>
          <w:tcPr>
            <w:tcW w:type="dxa" w:w="2434"/>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8"/>
                <w:szCs w:val="18"/>
              </w:rPr>
              <w:t xml:space="preserve">Regression Cycle</w:t>
            </w:r>
          </w:p>
        </w:tc>
        <w:tc>
          <w:tcPr>
            <w:tcW w:type="dxa" w:w="1498"/>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DA1E28"/>
                <w:sz w:val="18"/>
                <w:szCs w:val="18"/>
              </w:rPr>
              <w:t xml:space="preserve">Multi-day</w:t>
            </w:r>
          </w:p>
        </w:tc>
        <w:tc>
          <w:tcPr>
            <w:tcW w:type="dxa" w:w="1310"/>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0043CE"/>
                <w:sz w:val="18"/>
                <w:szCs w:val="18"/>
              </w:rPr>
              <w:t xml:space="preserve">50% faster</w:t>
            </w:r>
          </w:p>
        </w:tc>
        <w:tc>
          <w:tcPr>
            <w:tcW w:type="dxa" w:w="1310"/>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70% faster</w:t>
            </w:r>
          </w:p>
        </w:tc>
        <w:tc>
          <w:tcPr>
            <w:tcW w:type="dxa" w:w="2808"/>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Intelligent test selection</w:t>
            </w:r>
          </w:p>
        </w:tc>
      </w:tr>
      <w:tr>
        <w:tc>
          <w:tcPr>
            <w:tcW w:type="dxa" w:w="2434"/>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8"/>
                <w:szCs w:val="18"/>
              </w:rPr>
              <w:t xml:space="preserve">Time to Detect</w:t>
            </w:r>
          </w:p>
        </w:tc>
        <w:tc>
          <w:tcPr>
            <w:tcW w:type="dxa" w:w="1498"/>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DA1E28"/>
                <w:sz w:val="18"/>
                <w:szCs w:val="18"/>
              </w:rPr>
              <w:t xml:space="preserve">&gt; 2 hrs</w:t>
            </w:r>
          </w:p>
        </w:tc>
        <w:tc>
          <w:tcPr>
            <w:tcW w:type="dxa" w:w="1310"/>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0043CE"/>
                <w:sz w:val="18"/>
                <w:szCs w:val="18"/>
              </w:rPr>
              <w:t xml:space="preserve">&lt; 30 min</w:t>
            </w:r>
          </w:p>
        </w:tc>
        <w:tc>
          <w:tcPr>
            <w:tcW w:type="dxa" w:w="1310"/>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&lt; 15 min</w:t>
            </w:r>
          </w:p>
        </w:tc>
        <w:tc>
          <w:tcPr>
            <w:tcW w:type="dxa" w:w="2808"/>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AIOps + telemetry</w:t>
            </w:r>
          </w:p>
        </w:tc>
      </w:tr>
      <w:tr>
        <w:tc>
          <w:tcPr>
            <w:tcW w:type="dxa" w:w="2434"/>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8"/>
                <w:szCs w:val="18"/>
              </w:rPr>
              <w:t xml:space="preserve">AI Test Cases</w:t>
            </w:r>
          </w:p>
        </w:tc>
        <w:tc>
          <w:tcPr>
            <w:tcW w:type="dxa" w:w="1498"/>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DA1E28"/>
                <w:sz w:val="18"/>
                <w:szCs w:val="18"/>
              </w:rPr>
              <w:t xml:space="preserve">&lt; 5%</w:t>
            </w:r>
          </w:p>
        </w:tc>
        <w:tc>
          <w:tcPr>
            <w:tcW w:type="dxa" w:w="1310"/>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0043CE"/>
                <w:sz w:val="18"/>
                <w:szCs w:val="18"/>
              </w:rPr>
              <w:t xml:space="preserve">40%+</w:t>
            </w:r>
          </w:p>
        </w:tc>
        <w:tc>
          <w:tcPr>
            <w:tcW w:type="dxa" w:w="1310"/>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&gt; 70%</w:t>
            </w:r>
          </w:p>
        </w:tc>
        <w:tc>
          <w:tcPr>
            <w:tcW w:type="dxa" w:w="2808"/>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IBM Consulting Advantage</w:t>
            </w:r>
          </w:p>
        </w:tc>
      </w:tr>
      <w:tr>
        <w:tc>
          <w:tcPr>
            <w:tcW w:type="dxa" w:w="2434"/>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8"/>
                <w:szCs w:val="18"/>
              </w:rPr>
              <w:t xml:space="preserve">Defect Leakage</w:t>
            </w:r>
          </w:p>
        </w:tc>
        <w:tc>
          <w:tcPr>
            <w:tcW w:type="dxa" w:w="1498"/>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DA1E28"/>
                <w:sz w:val="18"/>
                <w:szCs w:val="18"/>
              </w:rPr>
              <w:t xml:space="preserve">Quarterly</w:t>
            </w:r>
          </w:p>
        </w:tc>
        <w:tc>
          <w:tcPr>
            <w:tcW w:type="dxa" w:w="1310"/>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0043CE"/>
                <w:sz w:val="18"/>
                <w:szCs w:val="18"/>
              </w:rPr>
              <w:t xml:space="preserve">Monthly SLA</w:t>
            </w:r>
          </w:p>
        </w:tc>
        <w:tc>
          <w:tcPr>
            <w:tcW w:type="dxa" w:w="1310"/>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8"/>
                <w:szCs w:val="18"/>
              </w:rPr>
              <w:t xml:space="preserve">Zero-leakage</w:t>
            </w:r>
          </w:p>
        </w:tc>
        <w:tc>
          <w:tcPr>
            <w:tcW w:type="dxa" w:w="2808"/>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End-to-end traceability</w:t>
            </w:r>
          </w:p>
        </w:tc>
      </w:tr>
    </w:tbl>
    <w:p>
      <w:pPr>
        <w:sectPr>
          <w:headerReference w:type="default" r:id="rId35"/>
          <w:footerReference w:type="default" r:id="rId36"/>
          <w:type w:val="continuous"/>
          <w:pgSz w:w="11906" w:h="16838" w:orient="portrait"/>
          <w:pgMar w:top="1152" w:right="1296" w:bottom="936" w:left="1296" w:header="708" w:footer="708" w:gutter="0"/>
          <w:pgNumType/>
          <w:cols w:num="1"/>
          <w:docGrid w:linePitch="360"/>
        </w:sectPr>
      </w:pPr>
    </w:p>
    <w:p>
      <w:pPr>
        <w:pBdr>
          <w:top w:val="single" w:color="0F62FE" w:sz="18" w:space="8"/>
        </w:pBdr>
        <w:spacing w:after="60" w:before="0"/>
      </w:pPr>
    </w:p>
    <w:p>
      <w:pPr>
        <w:spacing w:after="40" w:before="0"/>
      </w:pPr>
      <w:r>
        <w:rPr>
          <w:rFonts w:ascii="Calibri" w:cs="Calibri" w:eastAsia="Calibri" w:hAnsi="Calibri"/>
          <w:b/>
          <w:bCs/>
          <w:i w:val="false"/>
          <w:iCs w:val="false"/>
          <w:color w:val="0F62FE"/>
          <w:sz w:val="18"/>
          <w:szCs w:val="18"/>
        </w:rPr>
        <w:t xml:space="preserve">06  </w:t>
      </w:r>
      <w:r>
        <w:rPr>
          <w:rFonts w:ascii="Calibri" w:cs="Calibri" w:eastAsia="Calibri" w:hAnsi="Calibri"/>
          <w:b/>
          <w:bCs/>
          <w:i w:val="false"/>
          <w:iCs w:val="false"/>
          <w:color w:val="001141"/>
          <w:sz w:val="32"/>
          <w:szCs w:val="32"/>
        </w:rPr>
        <w:t xml:space="preserve">Member &amp; Provider Experience</w:t>
      </w:r>
    </w:p>
    <w:p>
      <w:pPr>
        <w:spacing w:after="120" w:before="0"/>
      </w:pPr>
      <w:r>
        <w:rPr>
          <w:rFonts w:ascii="Calibri" w:cs="Calibri" w:eastAsia="Calibri" w:hAnsi="Calibri"/>
          <w:b w:val="false"/>
          <w:bCs w:val="false"/>
          <w:i/>
          <w:iCs/>
          <w:color w:val="8D8D8D"/>
          <w:sz w:val="19"/>
          <w:szCs w:val="19"/>
        </w:rPr>
        <w:t xml:space="preserve">Every Operational Improvement Measured by the Human It Serves</w:t>
      </w:r>
    </w:p>
    <w:p>
      <w:pPr>
        <w:spacing w:after="60" w:before="0"/>
      </w:pPr>
      <w:r>
        <w:rPr>
          <w:rFonts w:ascii="Calibri" w:cs="Calibri" w:eastAsia="Calibri" w:hAnsi="Calibri"/>
          <w:sz w:val="8"/>
          <w:szCs w:val="8"/>
        </w:rPr>
        <w:t xml:space="preserve"/>
      </w:r>
    </w:p>
    <w:p>
      <w:pPr>
        <w:pBdr>
          <w:left w:val="single" w:color="0F62FE" w:sz="18" w:space="10"/>
        </w:pBdr>
        <w:spacing w:after="20" w:before="40"/>
        <w:ind w:left="504"/>
      </w:pPr>
      <w:r>
        <w:rPr>
          <w:rFonts w:ascii="Calibri" w:cs="Calibri" w:eastAsia="Calibri" w:hAnsi="Calibri"/>
          <w:b w:val="false"/>
          <w:bCs w:val="false"/>
          <w:i/>
          <w:iCs/>
          <w:color w:val="001141"/>
          <w:sz w:val="21"/>
          <w:szCs w:val="21"/>
        </w:rPr>
        <w:t xml:space="preserve">“The best technology is invisible to the member. The claim processes correctly. The prior auth comes back in hours, not days. The enrollment is seamless. That is the measure. Everything else is infrastructure.”</w:t>
      </w:r>
    </w:p>
    <w:p>
      <w:pPr>
        <w:spacing w:after="100" w:before="0"/>
        <w:jc w:val="right"/>
      </w:pPr>
      <w:r>
        <w:rPr>
          <w:rFonts w:ascii="Calibri" w:cs="Calibri" w:eastAsia="Calibri" w:hAnsi="Calibri"/>
          <w:b/>
          <w:bCs/>
          <w:i w:val="false"/>
          <w:iCs w:val="false"/>
          <w:color w:val="0F62FE"/>
          <w:sz w:val="17"/>
          <w:szCs w:val="17"/>
        </w:rPr>
        <w:t xml:space="preserve">— IBM — Healthcare Payer Design</w:t>
      </w:r>
    </w:p>
    <w:p>
      <w:pPr>
        <w:sectPr>
          <w:headerReference w:type="default" r:id="rId37"/>
          <w:footerReference w:type="default" r:id="rId38"/>
          <w:type w:val="nextPage"/>
          <w:pgSz w:w="11906" w:h="16838" w:orient="portrait"/>
          <w:pgMar w:top="1152" w:right="1296" w:bottom="936" w:left="1296" w:header="708" w:footer="708" w:gutter="0"/>
          <w:pgNumType/>
          <w:cols w:num="1"/>
          <w:docGrid w:linePitch="360"/>
        </w:sectPr>
      </w:pPr>
    </w:p>
    <w:p>
      <w:pPr>
        <w:spacing w:after="60" w:before="40"/>
      </w:pPr>
      <w:r>
        <w:rPr>
          <w:rFonts w:ascii="Calibri" w:cs="Calibri" w:eastAsia="Calibri" w:hAnsi="Calibri"/>
          <w:b/>
          <w:bCs/>
          <w:i w:val="false"/>
          <w:iCs w:val="false"/>
          <w:color w:val="001141"/>
          <w:sz w:val="22"/>
          <w:szCs w:val="22"/>
        </w:rPr>
        <w:t xml:space="preserve">Claims Operations</w:t>
      </w:r>
    </w:p>
    <w:p>
      <w:pPr>
        <w:spacing w:after="80" w:before="0"/>
      </w:pPr>
      <w:r>
        <w:rPr>
          <w:rFonts w:ascii="Calibri" w:cs="Calibri" w:eastAsia="Calibri" w:hAnsi="Calibri"/>
          <w:b w:val="false"/>
          <w:bCs w:val="false"/>
          <w:i w:val="false"/>
          <w:iCs w:val="false"/>
          <w:color w:val="525252"/>
          <w:sz w:val="20"/>
          <w:szCs w:val="20"/>
        </w:rPr>
        <w:t xml:space="preserve">Real-time visibility from receipt through adjudication, settlement, and denial management via CareOps360.</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AI auto-adjudication rules engine</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Denial pattern analytics by procedure, eligibility, COB</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Real-time dashboard: volume, TAT, denial drivers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SLA-bound adjudication commitments</w:t>
      </w:r>
    </w:p>
    <w:p>
      <w:pPr>
        <w:spacing w:after="80" w:before="0"/>
      </w:pPr>
      <w:r>
        <w:rPr>
          <w:rFonts w:ascii="Calibri" w:cs="Calibri" w:eastAsia="Calibri" w:hAnsi="Calibri"/>
          <w:sz w:val="8"/>
          <w:szCs w:val="8"/>
        </w:rPr>
        <w:t xml:space="preserve"/>
      </w:r>
    </w:p>
    <w:p>
      <w:pPr>
        <w:spacing w:after="60" w:before="40"/>
      </w:pPr>
      <w:r>
        <w:rPr>
          <w:rFonts w:ascii="Calibri" w:cs="Calibri" w:eastAsia="Calibri" w:hAnsi="Calibri"/>
          <w:b/>
          <w:bCs/>
          <w:i w:val="false"/>
          <w:iCs w:val="false"/>
          <w:color w:val="001141"/>
          <w:sz w:val="22"/>
          <w:szCs w:val="22"/>
        </w:rPr>
        <w:t xml:space="preserve">Enrollment Intelligence</w:t>
      </w:r>
    </w:p>
    <w:p>
      <w:pPr>
        <w:spacing w:after="80" w:before="0"/>
      </w:pPr>
      <w:r>
        <w:rPr>
          <w:rFonts w:ascii="Calibri" w:cs="Calibri" w:eastAsia="Calibri" w:hAnsi="Calibri"/>
          <w:b w:val="false"/>
          <w:bCs w:val="false"/>
          <w:i w:val="false"/>
          <w:iCs w:val="false"/>
          <w:color w:val="525252"/>
          <w:sz w:val="20"/>
          <w:szCs w:val="20"/>
        </w:rPr>
        <w:t xml:space="preserve">Transform reactive batch enrollment into proactive, real-time, AI-augmented operations.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Canonical 834 transformation at intake</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Real-time validation — errors in minutes, not hours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Shift-left member mastering — COB resolved earlier</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Agentic remediation with confidence scoring</w:t>
      </w:r>
    </w:p>
    <w:p>
      <w:r>
        <w:rPr>
          <w:rFonts w:ascii="Calibri" w:cs="Calibri" w:eastAsia="Calibri" w:hAnsi="Calibri"/>
          <w:sz w:val="4"/>
          <w:szCs w:val="4"/>
        </w:rPr>
        <w:r>
          <w:br w:type="column"/>
        </w:r>
      </w:r>
    </w:p>
    <w:p>
      <w:pPr>
        <w:spacing w:after="60" w:before="40"/>
      </w:pPr>
      <w:r>
        <w:rPr>
          <w:rFonts w:ascii="Calibri" w:cs="Calibri" w:eastAsia="Calibri" w:hAnsi="Calibri"/>
          <w:b/>
          <w:bCs/>
          <w:i w:val="false"/>
          <w:iCs w:val="false"/>
          <w:color w:val="001141"/>
          <w:sz w:val="22"/>
          <w:szCs w:val="22"/>
        </w:rPr>
        <w:t xml:space="preserve">Prior Authorization</w:t>
      </w:r>
    </w:p>
    <w:p>
      <w:pPr>
        <w:spacing w:after="80" w:before="0"/>
      </w:pPr>
      <w:r>
        <w:rPr>
          <w:rFonts w:ascii="Calibri" w:cs="Calibri" w:eastAsia="Calibri" w:hAnsi="Calibri"/>
          <w:b w:val="false"/>
          <w:bCs w:val="false"/>
          <w:i w:val="false"/>
          <w:iCs w:val="false"/>
          <w:color w:val="525252"/>
          <w:sz w:val="20"/>
          <w:szCs w:val="20"/>
        </w:rPr>
        <w:t xml:space="preserve">AI-assisted review: triage, auto-approve low-risk, flag complex cases for expedited human review.</w:t>
      </w:r>
    </w:p>
    <w:tbl>
      <w:tblPr>
        <w:tblW w:type="dxa" w:w="450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tblGrid>
      <w:tr>
        <w:tc>
          <w:tcPr>
            <w:tcW w:type="dxa" w:w="2070"/>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Metric</w:t>
            </w:r>
          </w:p>
        </w:tc>
        <w:tc>
          <w:tcPr>
            <w:tcW w:type="dxa" w:w="2430"/>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Target</w:t>
            </w:r>
          </w:p>
        </w:tc>
      </w:tr>
      <w:tr>
        <w:tc>
          <w:tcPr>
            <w:tcW w:type="dxa" w:w="2070"/>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Review Hours</w:t>
            </w:r>
          </w:p>
        </w:tc>
        <w:tc>
          <w:tcPr>
            <w:tcW w:type="dxa" w:w="2430"/>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7"/>
                <w:szCs w:val="17"/>
              </w:rPr>
              <w:t xml:space="preserve">−30%+</w:t>
            </w:r>
          </w:p>
        </w:tc>
      </w:tr>
      <w:tr>
        <w:tc>
          <w:tcPr>
            <w:tcW w:type="dxa" w:w="2070"/>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Urgent SLA</w:t>
            </w:r>
          </w:p>
        </w:tc>
        <w:tc>
          <w:tcPr>
            <w:tcW w:type="dxa" w:w="2430"/>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7"/>
                <w:szCs w:val="17"/>
              </w:rPr>
              <w:t xml:space="preserve">100% within 72 hrs</w:t>
            </w:r>
          </w:p>
        </w:tc>
      </w:tr>
      <w:tr>
        <w:tc>
          <w:tcPr>
            <w:tcW w:type="dxa" w:w="2070"/>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Backlog</w:t>
            </w:r>
          </w:p>
        </w:tc>
        <w:tc>
          <w:tcPr>
            <w:tcW w:type="dxa" w:w="2430"/>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7"/>
                <w:szCs w:val="17"/>
              </w:rPr>
              <w:t xml:space="preserve">Monthly reduction</w:t>
            </w:r>
          </w:p>
        </w:tc>
      </w:tr>
      <w:tr>
        <w:tc>
          <w:tcPr>
            <w:tcW w:type="dxa" w:w="2070"/>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Auto-Approval</w:t>
            </w:r>
          </w:p>
        </w:tc>
        <w:tc>
          <w:tcPr>
            <w:tcW w:type="dxa" w:w="2430"/>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7"/>
                <w:szCs w:val="17"/>
              </w:rPr>
              <w:t xml:space="preserve">&gt;40% by Month 12</w:t>
            </w:r>
          </w:p>
        </w:tc>
      </w:tr>
    </w:tbl>
    <w:p>
      <w:pPr>
        <w:spacing w:after="80" w:before="0"/>
      </w:pPr>
      <w:r>
        <w:rPr>
          <w:rFonts w:ascii="Calibri" w:cs="Calibri" w:eastAsia="Calibri" w:hAnsi="Calibri"/>
          <w:sz w:val="8"/>
          <w:szCs w:val="8"/>
        </w:rPr>
        <w:t xml:space="preserve"/>
      </w:r>
    </w:p>
    <w:p>
      <w:pPr>
        <w:spacing w:after="60" w:before="40"/>
      </w:pPr>
      <w:r>
        <w:rPr>
          <w:rFonts w:ascii="Calibri" w:cs="Calibri" w:eastAsia="Calibri" w:hAnsi="Calibri"/>
          <w:b/>
          <w:bCs/>
          <w:i w:val="false"/>
          <w:iCs w:val="false"/>
          <w:color w:val="001141"/>
          <w:sz w:val="22"/>
          <w:szCs w:val="22"/>
        </w:rPr>
        <w:t xml:space="preserve">Business Domain KPIs</w:t>
      </w:r>
    </w:p>
    <w:tbl>
      <w:tblPr>
        <w:tblW w:type="dxa" w:w="450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tblGrid>
      <w:tr>
        <w:tc>
          <w:tcPr>
            <w:tcW w:type="dxa" w:w="1260"/>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Domain</w:t>
            </w:r>
          </w:p>
        </w:tc>
        <w:tc>
          <w:tcPr>
            <w:tcW w:type="dxa" w:w="1890"/>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Metric</w:t>
            </w:r>
          </w:p>
        </w:tc>
        <w:tc>
          <w:tcPr>
            <w:tcW w:type="dxa" w:w="1350"/>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Target</w:t>
            </w:r>
          </w:p>
        </w:tc>
      </w:tr>
      <w:tr>
        <w:tc>
          <w:tcPr>
            <w:tcW w:type="dxa" w:w="1260"/>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Claims</w:t>
            </w:r>
          </w:p>
        </w:tc>
        <w:tc>
          <w:tcPr>
            <w:tcW w:type="dxa" w:w="1890"/>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Cycle time</w:t>
            </w:r>
          </w:p>
        </w:tc>
        <w:tc>
          <w:tcPr>
            <w:tcW w:type="dxa" w:w="1350"/>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7"/>
                <w:szCs w:val="17"/>
              </w:rPr>
              <w:t xml:space="preserve">−30%</w:t>
            </w:r>
          </w:p>
        </w:tc>
      </w:tr>
      <w:tr>
        <w:tc>
          <w:tcPr>
            <w:tcW w:type="dxa" w:w="1260"/>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Enrollment</w:t>
            </w:r>
          </w:p>
        </w:tc>
        <w:tc>
          <w:tcPr>
            <w:tcW w:type="dxa" w:w="1890"/>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Time-to-good</w:t>
            </w:r>
          </w:p>
        </w:tc>
        <w:tc>
          <w:tcPr>
            <w:tcW w:type="dxa" w:w="1350"/>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7"/>
                <w:szCs w:val="17"/>
              </w:rPr>
              <w:t xml:space="preserve">−40%</w:t>
            </w:r>
          </w:p>
        </w:tc>
      </w:tr>
      <w:tr>
        <w:tc>
          <w:tcPr>
            <w:tcW w:type="dxa" w:w="1260"/>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Member</w:t>
            </w:r>
          </w:p>
        </w:tc>
        <w:tc>
          <w:tcPr>
            <w:tcW w:type="dxa" w:w="1890"/>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First-contact res.</w:t>
            </w:r>
          </w:p>
        </w:tc>
        <w:tc>
          <w:tcPr>
            <w:tcW w:type="dxa" w:w="1350"/>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7"/>
                <w:szCs w:val="17"/>
              </w:rPr>
              <w:t xml:space="preserve">+25%</w:t>
            </w:r>
          </w:p>
        </w:tc>
      </w:tr>
      <w:tr>
        <w:tc>
          <w:tcPr>
            <w:tcW w:type="dxa" w:w="1260"/>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Provider</w:t>
            </w:r>
          </w:p>
        </w:tc>
        <w:tc>
          <w:tcPr>
            <w:tcW w:type="dxa" w:w="1890"/>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Auth auto-approve</w:t>
            </w:r>
          </w:p>
        </w:tc>
        <w:tc>
          <w:tcPr>
            <w:tcW w:type="dxa" w:w="1350"/>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7"/>
                <w:szCs w:val="17"/>
              </w:rPr>
              <w:t xml:space="preserve">&gt;40%</w:t>
            </w:r>
          </w:p>
        </w:tc>
      </w:tr>
      <w:tr>
        <w:tc>
          <w:tcPr>
            <w:tcW w:type="dxa" w:w="1260"/>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IT Ops</w:t>
            </w:r>
          </w:p>
        </w:tc>
        <w:tc>
          <w:tcPr>
            <w:tcW w:type="dxa" w:w="1890"/>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Auto-resolution</w:t>
            </w:r>
          </w:p>
        </w:tc>
        <w:tc>
          <w:tcPr>
            <w:tcW w:type="dxa" w:w="1350"/>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7"/>
                <w:szCs w:val="17"/>
              </w:rPr>
              <w:t xml:space="preserve">&gt;74%</w:t>
            </w:r>
          </w:p>
        </w:tc>
      </w:tr>
    </w:tbl>
    <w:p>
      <w:pPr>
        <w:sectPr>
          <w:headerReference w:type="default" r:id="rId39"/>
          <w:footerReference w:type="default" r:id="rId40"/>
          <w:type w:val="continuous"/>
          <w:pgSz w:w="11906" w:h="16838" w:orient="portrait"/>
          <w:pgMar w:top="1152" w:right="1296" w:bottom="936" w:left="1296" w:header="708" w:footer="708" w:gutter="0"/>
          <w:pgNumType/>
          <w:cols w:space="504" w:num="2" w:sep="false"/>
          <w:docGrid w:linePitch="360"/>
        </w:sectPr>
      </w:pPr>
    </w:p>
    <w:p>
      <w:pPr>
        <w:pBdr>
          <w:top w:val="single" w:color="0F62FE" w:sz="18" w:space="8"/>
        </w:pBdr>
        <w:spacing w:after="60" w:before="0"/>
      </w:pPr>
    </w:p>
    <w:p>
      <w:pPr>
        <w:spacing w:after="40" w:before="0"/>
      </w:pPr>
      <w:r>
        <w:rPr>
          <w:rFonts w:ascii="Calibri" w:cs="Calibri" w:eastAsia="Calibri" w:hAnsi="Calibri"/>
          <w:b/>
          <w:bCs/>
          <w:i w:val="false"/>
          <w:iCs w:val="false"/>
          <w:color w:val="0F62FE"/>
          <w:sz w:val="18"/>
          <w:szCs w:val="18"/>
        </w:rPr>
        <w:t xml:space="preserve">07  </w:t>
      </w:r>
      <w:r>
        <w:rPr>
          <w:rFonts w:ascii="Calibri" w:cs="Calibri" w:eastAsia="Calibri" w:hAnsi="Calibri"/>
          <w:b/>
          <w:bCs/>
          <w:i w:val="false"/>
          <w:iCs w:val="false"/>
          <w:color w:val="001141"/>
          <w:sz w:val="32"/>
          <w:szCs w:val="32"/>
        </w:rPr>
        <w:t xml:space="preserve">CareOps360 &amp; Governance</w:t>
      </w:r>
    </w:p>
    <w:p>
      <w:pPr>
        <w:spacing w:after="120" w:before="0"/>
      </w:pPr>
      <w:r>
        <w:rPr>
          <w:rFonts w:ascii="Calibri" w:cs="Calibri" w:eastAsia="Calibri" w:hAnsi="Calibri"/>
          <w:b w:val="false"/>
          <w:bCs w:val="false"/>
          <w:i/>
          <w:iCs/>
          <w:color w:val="8D8D8D"/>
          <w:sz w:val="19"/>
          <w:szCs w:val="19"/>
        </w:rPr>
        <w:t xml:space="preserve">Real-Time Executive Visibility  ·  No Manual Reporting  ·  Live Data, Always</w:t>
      </w:r>
    </w:p>
    <w:p>
      <w:pPr>
        <w:spacing w:after="60" w:before="0"/>
      </w:pPr>
      <w:r>
        <w:rPr>
          <w:rFonts w:ascii="Calibri" w:cs="Calibri" w:eastAsia="Calibri" w:hAnsi="Calibri"/>
          <w:sz w:val="8"/>
          <w:szCs w:val="8"/>
        </w:rPr>
        <w:t xml:space="preserve"/>
      </w:r>
    </w:p>
    <w:p>
      <w:pPr>
        <w:pBdr>
          <w:left w:val="single" w:color="0F62FE" w:sz="18" w:space="10"/>
        </w:pBdr>
        <w:spacing w:after="20" w:before="40"/>
        <w:ind w:left="504"/>
      </w:pPr>
      <w:r>
        <w:rPr>
          <w:rFonts w:ascii="Calibri" w:cs="Calibri" w:eastAsia="Calibri" w:hAnsi="Calibri"/>
          <w:b w:val="false"/>
          <w:bCs w:val="false"/>
          <w:i/>
          <w:iCs/>
          <w:color w:val="001141"/>
          <w:sz w:val="21"/>
          <w:szCs w:val="21"/>
        </w:rPr>
        <w:t xml:space="preserve">“Horizon’s leadership should never ask ‘how are we doing?’ and wait for a deck. The answer should be live, accurate, and one click away — every hour of every day.”</w:t>
      </w:r>
    </w:p>
    <w:p>
      <w:pPr>
        <w:spacing w:after="100" w:before="0"/>
        <w:jc w:val="right"/>
      </w:pPr>
      <w:r>
        <w:rPr>
          <w:rFonts w:ascii="Calibri" w:cs="Calibri" w:eastAsia="Calibri" w:hAnsi="Calibri"/>
          <w:b/>
          <w:bCs/>
          <w:i w:val="false"/>
          <w:iCs w:val="false"/>
          <w:color w:val="0F62FE"/>
          <w:sz w:val="17"/>
          <w:szCs w:val="17"/>
        </w:rPr>
        <w:t xml:space="preserve">— IBM — Executive Visibility</w:t>
      </w:r>
    </w:p>
    <w:p>
      <w:pPr>
        <w:sectPr>
          <w:headerReference w:type="default" r:id="rId41"/>
          <w:footerReference w:type="default" r:id="rId42"/>
          <w:type w:val="nextPage"/>
          <w:pgSz w:w="11906" w:h="16838" w:orient="portrait"/>
          <w:pgMar w:top="1152" w:right="1296" w:bottom="936" w:left="1296" w:header="708" w:footer="708" w:gutter="0"/>
          <w:pgNumType/>
          <w:cols w:num="1"/>
          <w:docGrid w:linePitch="360"/>
        </w:sectPr>
      </w:pPr>
    </w:p>
    <w:p>
      <w:pPr>
        <w:spacing w:after="60" w:before="40"/>
      </w:pPr>
      <w:r>
        <w:rPr>
          <w:rFonts w:ascii="Calibri" w:cs="Calibri" w:eastAsia="Calibri" w:hAnsi="Calibri"/>
          <w:b/>
          <w:bCs/>
          <w:i w:val="false"/>
          <w:iCs w:val="false"/>
          <w:color w:val="001141"/>
          <w:sz w:val="22"/>
          <w:szCs w:val="22"/>
        </w:rPr>
        <w:t xml:space="preserve">What Is CareOps360?</w:t>
      </w:r>
    </w:p>
    <w:p>
      <w:pPr>
        <w:spacing w:after="80" w:before="0"/>
      </w:pPr>
      <w:r>
        <w:rPr>
          <w:rFonts w:ascii="Calibri" w:cs="Calibri" w:eastAsia="Calibri" w:hAnsi="Calibri"/>
          <w:b w:val="false"/>
          <w:bCs w:val="false"/>
          <w:i w:val="false"/>
          <w:iCs w:val="false"/>
          <w:color w:val="525252"/>
          <w:sz w:val="20"/>
          <w:szCs w:val="20"/>
        </w:rPr>
        <w:t xml:space="preserve">IBM’s production-grade executive operations platform — real-time intelligence across all AMS towers through a single command center. Deployed in production-equivalent environment; architecture-ready for live data.</w:t>
      </w:r>
    </w:p>
    <w:p>
      <w:pPr>
        <w:spacing w:after="60" w:before="80"/>
      </w:pPr>
      <w:r>
        <w:rPr>
          <w:rFonts w:ascii="Calibri" w:cs="Calibri" w:eastAsia="Calibri" w:hAnsi="Calibri"/>
          <w:b/>
          <w:bCs/>
          <w:i w:val="false"/>
          <w:iCs w:val="false"/>
          <w:color w:val="001141"/>
          <w:sz w:val="22"/>
          <w:szCs w:val="22"/>
        </w:rPr>
        <w:t xml:space="preserve">Dashboards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Executive Overview — 8 real-time KPI tiles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Application Health — ~1,000 app inventory</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Claims Operations — Volume, queue, denials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Prior Auth — Backlog, SLA, approval rates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Enrollment Intelligence — Pipeline, surge detection</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Member Services — ASA, FCR, chatbot containment</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AIOps Value — Savings, shift-left, self-heal</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Transformation Roadmap — 60 initiatives tracked</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Capability Uplift — Certifications, AI readiness</w:t>
      </w:r>
    </w:p>
    <w:p>
      <w:r>
        <w:rPr>
          <w:rFonts w:ascii="Calibri" w:cs="Calibri" w:eastAsia="Calibri" w:hAnsi="Calibri"/>
          <w:sz w:val="4"/>
          <w:szCs w:val="4"/>
        </w:rPr>
        <w:r>
          <w:br w:type="column"/>
        </w:r>
      </w:r>
    </w:p>
    <w:p>
      <w:pPr>
        <w:spacing w:after="60" w:before="40"/>
      </w:pPr>
      <w:r>
        <w:rPr>
          <w:rFonts w:ascii="Calibri" w:cs="Calibri" w:eastAsia="Calibri" w:hAnsi="Calibri"/>
          <w:b/>
          <w:bCs/>
          <w:i w:val="false"/>
          <w:iCs w:val="false"/>
          <w:color w:val="001141"/>
          <w:sz w:val="22"/>
          <w:szCs w:val="22"/>
        </w:rPr>
        <w:t xml:space="preserve">Metrics Tracked</w:t>
      </w:r>
    </w:p>
    <w:tbl>
      <w:tblPr>
        <w:tblW w:type="dxa" w:w="450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tblGrid>
      <w:tr>
        <w:tc>
          <w:tcPr>
            <w:tcW w:type="dxa" w:w="1530"/>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Domain</w:t>
            </w:r>
          </w:p>
        </w:tc>
        <w:tc>
          <w:tcPr>
            <w:tcW w:type="dxa" w:w="2970"/>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What’s Tracked</w:t>
            </w:r>
          </w:p>
        </w:tc>
      </w:tr>
      <w:tr>
        <w:tc>
          <w:tcPr>
            <w:tcW w:type="dxa" w:w="1530"/>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7"/>
                <w:szCs w:val="17"/>
              </w:rPr>
              <w:t xml:space="preserve">App Ops</w:t>
            </w:r>
          </w:p>
        </w:tc>
        <w:tc>
          <w:tcPr>
            <w:tcW w:type="dxa" w:w="2970"/>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Availability, MTTR, incidents</w:t>
            </w:r>
          </w:p>
        </w:tc>
      </w:tr>
      <w:tr>
        <w:tc>
          <w:tcPr>
            <w:tcW w:type="dxa" w:w="1530"/>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7"/>
                <w:szCs w:val="17"/>
              </w:rPr>
              <w:t xml:space="preserve">Claims</w:t>
            </w:r>
          </w:p>
        </w:tc>
        <w:tc>
          <w:tcPr>
            <w:tcW w:type="dxa" w:w="2970"/>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Volume, TAT, denial drivers</w:t>
            </w:r>
          </w:p>
        </w:tc>
      </w:tr>
      <w:tr>
        <w:tc>
          <w:tcPr>
            <w:tcW w:type="dxa" w:w="1530"/>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7"/>
                <w:szCs w:val="17"/>
              </w:rPr>
              <w:t xml:space="preserve">Prior Auth</w:t>
            </w:r>
          </w:p>
        </w:tc>
        <w:tc>
          <w:tcPr>
            <w:tcW w:type="dxa" w:w="2970"/>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Backlog, SLA, auto-approval</w:t>
            </w:r>
          </w:p>
        </w:tc>
      </w:tr>
      <w:tr>
        <w:tc>
          <w:tcPr>
            <w:tcW w:type="dxa" w:w="1530"/>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7"/>
                <w:szCs w:val="17"/>
              </w:rPr>
              <w:t xml:space="preserve">Enrollment</w:t>
            </w:r>
          </w:p>
        </w:tc>
        <w:tc>
          <w:tcPr>
            <w:tcW w:type="dxa" w:w="2970"/>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Time-to-good, queue health</w:t>
            </w:r>
          </w:p>
        </w:tc>
      </w:tr>
      <w:tr>
        <w:tc>
          <w:tcPr>
            <w:tcW w:type="dxa" w:w="1530"/>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7"/>
                <w:szCs w:val="17"/>
              </w:rPr>
              <w:t xml:space="preserve">Member Svc</w:t>
            </w:r>
          </w:p>
        </w:tc>
        <w:tc>
          <w:tcPr>
            <w:tcW w:type="dxa" w:w="2970"/>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ASA, FCR, digital adoption</w:t>
            </w:r>
          </w:p>
        </w:tc>
      </w:tr>
      <w:tr>
        <w:tc>
          <w:tcPr>
            <w:tcW w:type="dxa" w:w="1530"/>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7"/>
                <w:szCs w:val="17"/>
              </w:rPr>
              <w:t xml:space="preserve">AIOps</w:t>
            </w:r>
          </w:p>
        </w:tc>
        <w:tc>
          <w:tcPr>
            <w:tcW w:type="dxa" w:w="2970"/>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Savings, self-heal events</w:t>
            </w:r>
          </w:p>
        </w:tc>
      </w:tr>
      <w:tr>
        <w:tc>
          <w:tcPr>
            <w:tcW w:type="dxa" w:w="1530"/>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7"/>
                <w:szCs w:val="17"/>
              </w:rPr>
              <w:t xml:space="preserve">Transform</w:t>
            </w:r>
          </w:p>
        </w:tc>
        <w:tc>
          <w:tcPr>
            <w:tcW w:type="dxa" w:w="2970"/>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Phase progress, risk, velocity</w:t>
            </w:r>
          </w:p>
        </w:tc>
      </w:tr>
    </w:tbl>
    <w:p>
      <w:pPr>
        <w:spacing w:after="80" w:before="0"/>
      </w:pPr>
      <w:r>
        <w:rPr>
          <w:rFonts w:ascii="Calibri" w:cs="Calibri" w:eastAsia="Calibri" w:hAnsi="Calibri"/>
          <w:sz w:val="8"/>
          <w:szCs w:val="8"/>
        </w:rPr>
        <w:t xml:space="preserve"/>
      </w:r>
    </w:p>
    <w:p>
      <w:pPr>
        <w:spacing w:after="60" w:before="40"/>
      </w:pPr>
      <w:r>
        <w:rPr>
          <w:rFonts w:ascii="Calibri" w:cs="Calibri" w:eastAsia="Calibri" w:hAnsi="Calibri"/>
          <w:b/>
          <w:bCs/>
          <w:i w:val="false"/>
          <w:iCs w:val="false"/>
          <w:color w:val="001141"/>
          <w:sz w:val="22"/>
          <w:szCs w:val="22"/>
        </w:rPr>
        <w:t xml:space="preserve">Governance Cadence</w:t>
      </w:r>
    </w:p>
    <w:tbl>
      <w:tblPr>
        <w:tblW w:type="dxa" w:w="450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tblGrid>
      <w:tr>
        <w:tc>
          <w:tcPr>
            <w:tcW w:type="dxa" w:w="1260"/>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Forum</w:t>
            </w:r>
          </w:p>
        </w:tc>
        <w:tc>
          <w:tcPr>
            <w:tcW w:type="dxa" w:w="990"/>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Cadence</w:t>
            </w:r>
          </w:p>
        </w:tc>
        <w:tc>
          <w:tcPr>
            <w:tcW w:type="dxa" w:w="2250"/>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Focus</w:t>
            </w:r>
          </w:p>
        </w:tc>
      </w:tr>
      <w:tr>
        <w:tc>
          <w:tcPr>
            <w:tcW w:type="dxa" w:w="1260"/>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Ops Review</w:t>
            </w:r>
          </w:p>
        </w:tc>
        <w:tc>
          <w:tcPr>
            <w:tcW w:type="dxa" w:w="990"/>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7"/>
                <w:szCs w:val="17"/>
              </w:rPr>
              <w:t xml:space="preserve">Weekly</w:t>
            </w:r>
          </w:p>
        </w:tc>
        <w:tc>
          <w:tcPr>
            <w:tcW w:type="dxa" w:w="2250"/>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SLA, MTTR, pipeline velocity</w:t>
            </w:r>
          </w:p>
        </w:tc>
      </w:tr>
      <w:tr>
        <w:tc>
          <w:tcPr>
            <w:tcW w:type="dxa" w:w="1260"/>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Exec Briefing</w:t>
            </w:r>
          </w:p>
        </w:tc>
        <w:tc>
          <w:tcPr>
            <w:tcW w:type="dxa" w:w="990"/>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7"/>
                <w:szCs w:val="17"/>
              </w:rPr>
              <w:t xml:space="preserve">Monthly</w:t>
            </w:r>
          </w:p>
        </w:tc>
        <w:tc>
          <w:tcPr>
            <w:tcW w:type="dxa" w:w="2250"/>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Cost takeout, automation, KPIs</w:t>
            </w:r>
          </w:p>
        </w:tc>
      </w:tr>
      <w:tr>
        <w:tc>
          <w:tcPr>
            <w:tcW w:type="dxa" w:w="1260"/>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Board / ELT</w:t>
            </w:r>
          </w:p>
        </w:tc>
        <w:tc>
          <w:tcPr>
            <w:tcW w:type="dxa" w:w="990"/>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7"/>
                <w:szCs w:val="17"/>
              </w:rPr>
              <w:t xml:space="preserve">Quarterly</w:t>
            </w:r>
          </w:p>
        </w:tc>
        <w:tc>
          <w:tcPr>
            <w:tcW w:type="dxa" w:w="2250"/>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7"/>
                <w:szCs w:val="17"/>
              </w:rPr>
              <w:t xml:space="preserve">Total value, innovation roadmap</w:t>
            </w:r>
          </w:p>
        </w:tc>
      </w:tr>
    </w:tbl>
    <w:p>
      <w:pPr>
        <w:spacing w:after="40" w:before="0"/>
      </w:pPr>
      <w:r>
        <w:rPr>
          <w:rFonts w:ascii="Calibri" w:cs="Calibri" w:eastAsia="Calibri" w:hAnsi="Calibri"/>
          <w:sz w:val="8"/>
          <w:szCs w:val="8"/>
        </w:rPr>
        <w:t xml:space="preserve"/>
      </w:r>
    </w:p>
    <w:p>
      <w:pPr>
        <w:spacing w:after="60" w:before="40"/>
      </w:pPr>
      <w:r>
        <w:rPr>
          <w:rFonts w:ascii="Calibri" w:cs="Calibri" w:eastAsia="Calibri" w:hAnsi="Calibri"/>
          <w:b/>
          <w:bCs/>
          <w:i w:val="false"/>
          <w:iCs w:val="false"/>
          <w:color w:val="001141"/>
          <w:sz w:val="22"/>
          <w:szCs w:val="22"/>
        </w:rPr>
        <w:t xml:space="preserve">Access &amp; Security</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Role-based access · Token-authenticated sessions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HIPAA-compliant · No PHI in command center</w:t>
      </w:r>
    </w:p>
    <w:p>
      <w:pPr>
        <w:sectPr>
          <w:headerReference w:type="default" r:id="rId43"/>
          <w:footerReference w:type="default" r:id="rId44"/>
          <w:type w:val="continuous"/>
          <w:pgSz w:w="11906" w:h="16838" w:orient="portrait"/>
          <w:pgMar w:top="1152" w:right="1296" w:bottom="936" w:left="1296" w:header="708" w:footer="708" w:gutter="0"/>
          <w:pgNumType/>
          <w:cols w:space="504" w:num="2" w:sep="false"/>
          <w:docGrid w:linePitch="360"/>
        </w:sectPr>
      </w:pPr>
    </w:p>
    <w:p>
      <w:pPr>
        <w:pBdr>
          <w:top w:val="single" w:color="0F62FE" w:sz="18" w:space="8"/>
        </w:pBdr>
        <w:spacing w:after="60" w:before="0"/>
      </w:pPr>
    </w:p>
    <w:p>
      <w:pPr>
        <w:spacing w:after="40" w:before="0"/>
      </w:pPr>
      <w:r>
        <w:rPr>
          <w:rFonts w:ascii="Calibri" w:cs="Calibri" w:eastAsia="Calibri" w:hAnsi="Calibri"/>
          <w:b/>
          <w:bCs/>
          <w:i w:val="false"/>
          <w:iCs w:val="false"/>
          <w:color w:val="0F62FE"/>
          <w:sz w:val="18"/>
          <w:szCs w:val="18"/>
        </w:rPr>
        <w:t xml:space="preserve">08  </w:t>
      </w:r>
      <w:r>
        <w:rPr>
          <w:rFonts w:ascii="Calibri" w:cs="Calibri" w:eastAsia="Calibri" w:hAnsi="Calibri"/>
          <w:b/>
          <w:bCs/>
          <w:i w:val="false"/>
          <w:iCs w:val="false"/>
          <w:color w:val="001141"/>
          <w:sz w:val="32"/>
          <w:szCs w:val="32"/>
        </w:rPr>
        <w:t xml:space="preserve">Phased Delivery Roadmap</w:t>
      </w:r>
    </w:p>
    <w:p>
      <w:pPr>
        <w:spacing w:after="120" w:before="0"/>
      </w:pPr>
      <w:r>
        <w:rPr>
          <w:rFonts w:ascii="Calibri" w:cs="Calibri" w:eastAsia="Calibri" w:hAnsi="Calibri"/>
          <w:b w:val="false"/>
          <w:bCs w:val="false"/>
          <w:i/>
          <w:iCs/>
          <w:color w:val="8D8D8D"/>
          <w:sz w:val="19"/>
          <w:szCs w:val="19"/>
        </w:rPr>
        <w:t xml:space="preserve">Risk-Controlled  ·  Compounding Value  ·  Zero Disruption</w:t>
      </w:r>
    </w:p>
    <w:p>
      <w:pPr>
        <w:spacing w:after="60" w:before="0"/>
      </w:pPr>
      <w:r>
        <w:rPr>
          <w:rFonts w:ascii="Calibri" w:cs="Calibri" w:eastAsia="Calibri" w:hAnsi="Calibri"/>
          <w:sz w:val="8"/>
          <w:szCs w:val="8"/>
        </w:rPr>
        <w:t xml:space="preserve"/>
      </w:r>
    </w:p>
    <w:p>
      <w:pPr>
        <w:pBdr>
          <w:left w:val="single" w:color="0F62FE" w:sz="18" w:space="10"/>
        </w:pBdr>
        <w:spacing w:after="20" w:before="40"/>
        <w:ind w:left="504"/>
      </w:pPr>
      <w:r>
        <w:rPr>
          <w:rFonts w:ascii="Calibri" w:cs="Calibri" w:eastAsia="Calibri" w:hAnsi="Calibri"/>
          <w:b w:val="false"/>
          <w:bCs w:val="false"/>
          <w:i/>
          <w:iCs/>
          <w:color w:val="001141"/>
          <w:sz w:val="21"/>
          <w:szCs w:val="21"/>
        </w:rPr>
        <w:t xml:space="preserve">“Every day a claim processes faster, a prior auth returns sooner, or an outage resolves before a provider notices — that is a day Horizon’s members experience the IBM difference. That starts in Week 1, not Year 2.”</w:t>
      </w:r>
    </w:p>
    <w:p>
      <w:pPr>
        <w:spacing w:after="100" w:before="0"/>
        <w:jc w:val="right"/>
      </w:pPr>
      <w:r>
        <w:rPr>
          <w:rFonts w:ascii="Calibri" w:cs="Calibri" w:eastAsia="Calibri" w:hAnsi="Calibri"/>
          <w:b/>
          <w:bCs/>
          <w:i w:val="false"/>
          <w:iCs w:val="false"/>
          <w:color w:val="0F62FE"/>
          <w:sz w:val="17"/>
          <w:szCs w:val="17"/>
        </w:rPr>
        <w:t xml:space="preserve">— IBM Delivery Governance</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tblGrid>
      <w:tr>
        <w:tc>
          <w:tcPr>
            <w:tcW w:type="dxa" w:w="1217"/>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Phase</w:t>
            </w:r>
          </w:p>
        </w:tc>
        <w:tc>
          <w:tcPr>
            <w:tcW w:type="dxa" w:w="842"/>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Time</w:t>
            </w:r>
          </w:p>
        </w:tc>
        <w:tc>
          <w:tcPr>
            <w:tcW w:type="dxa" w:w="4493"/>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Key Deliverables</w:t>
            </w:r>
          </w:p>
        </w:tc>
        <w:tc>
          <w:tcPr>
            <w:tcW w:type="dxa" w:w="2808"/>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Value Signal</w:t>
            </w:r>
          </w:p>
        </w:tc>
      </w:tr>
      <w:tr>
        <w:tc>
          <w:tcPr>
            <w:tcW w:type="dxa" w:w="1217"/>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01141"/>
                <w:sz w:val="18"/>
                <w:szCs w:val="18"/>
              </w:rPr>
              <w:t xml:space="preserve">Phase 0
Foundation</w:t>
            </w:r>
          </w:p>
        </w:tc>
        <w:tc>
          <w:tcPr>
            <w:tcW w:type="dxa" w:w="842"/>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8D8D8D"/>
                <w:sz w:val="18"/>
                <w:szCs w:val="18"/>
              </w:rPr>
              <w:t xml:space="preserve">0–8 Wk</w:t>
            </w:r>
          </w:p>
        </w:tc>
        <w:tc>
          <w:tcPr>
            <w:tcW w:type="dxa" w:w="4493"/>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8"/>
                <w:szCs w:val="18"/>
              </w:rPr>
              <w:t xml:space="preserve">CareOps360 live  ·  AIOps baseline  ·  Transition plan  ·  AI dev + QA rollout  ·  Innovation Council</w:t>
            </w:r>
          </w:p>
        </w:tc>
        <w:tc>
          <w:tcPr>
            <w:tcW w:type="dxa" w:w="2808"/>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8"/>
                <w:szCs w:val="18"/>
              </w:rPr>
              <w:t xml:space="preserve">Dashboards live  ·  Baselines agreed  ·  Zero BAU disruption</w:t>
            </w:r>
          </w:p>
        </w:tc>
      </w:tr>
      <w:tr>
        <w:tc>
          <w:tcPr>
            <w:tcW w:type="dxa" w:w="1217"/>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01141"/>
                <w:sz w:val="18"/>
                <w:szCs w:val="18"/>
              </w:rPr>
              <w:t xml:space="preserve">Phase 1
Ignite</w:t>
            </w:r>
          </w:p>
        </w:tc>
        <w:tc>
          <w:tcPr>
            <w:tcW w:type="dxa" w:w="842"/>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8D8D8D"/>
                <w:sz w:val="18"/>
                <w:szCs w:val="18"/>
              </w:rPr>
              <w:t xml:space="preserve">Mo 1–3</w:t>
            </w:r>
          </w:p>
        </w:tc>
        <w:tc>
          <w:tcPr>
            <w:tcW w:type="dxa" w:w="4493"/>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8"/>
                <w:szCs w:val="18"/>
              </w:rPr>
              <w:t xml:space="preserve">AIOps on production  ·  Test automation framework  ·  GenAI dev lifecycle  ·  Integration simplification</w:t>
            </w:r>
          </w:p>
        </w:tc>
        <w:tc>
          <w:tcPr>
            <w:tcW w:type="dxa" w:w="2808"/>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8"/>
                <w:szCs w:val="18"/>
              </w:rPr>
              <w:t xml:space="preserve">MTTR −20%  ·  First automation ROI  ·  QE 45%</w:t>
            </w:r>
          </w:p>
        </w:tc>
      </w:tr>
      <w:tr>
        <w:tc>
          <w:tcPr>
            <w:tcW w:type="dxa" w:w="1217"/>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01141"/>
                <w:sz w:val="18"/>
                <w:szCs w:val="18"/>
              </w:rPr>
              <w:t xml:space="preserve">Phase 2
Scale</w:t>
            </w:r>
          </w:p>
        </w:tc>
        <w:tc>
          <w:tcPr>
            <w:tcW w:type="dxa" w:w="842"/>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8D8D8D"/>
                <w:sz w:val="18"/>
                <w:szCs w:val="18"/>
              </w:rPr>
              <w:t xml:space="preserve">Mo 3–6</w:t>
            </w:r>
          </w:p>
        </w:tc>
        <w:tc>
          <w:tcPr>
            <w:tcW w:type="dxa" w:w="4493"/>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8"/>
                <w:szCs w:val="18"/>
              </w:rPr>
              <w:t xml:space="preserve">Agentic triage live  ·  COBOL→Java pilot  ·  Mainframe modernization  ·  Digital Front Door blueprint</w:t>
            </w:r>
          </w:p>
        </w:tc>
        <w:tc>
          <w:tcPr>
            <w:tcW w:type="dxa" w:w="2808"/>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8"/>
                <w:szCs w:val="18"/>
              </w:rPr>
              <w:t xml:space="preserve">Auto-resolve &gt;50%  ·  Defect escape −40%  ·  $3–5M</w:t>
            </w:r>
          </w:p>
        </w:tc>
      </w:tr>
      <w:tr>
        <w:tc>
          <w:tcPr>
            <w:tcW w:type="dxa" w:w="1217"/>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01141"/>
                <w:sz w:val="18"/>
                <w:szCs w:val="18"/>
              </w:rPr>
              <w:t xml:space="preserve">Phase 3
Optimize</w:t>
            </w:r>
          </w:p>
        </w:tc>
        <w:tc>
          <w:tcPr>
            <w:tcW w:type="dxa" w:w="842"/>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8D8D8D"/>
                <w:sz w:val="18"/>
                <w:szCs w:val="18"/>
              </w:rPr>
              <w:t xml:space="preserve">Mo 6–12</w:t>
            </w:r>
          </w:p>
        </w:tc>
        <w:tc>
          <w:tcPr>
            <w:tcW w:type="dxa" w:w="4493"/>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8"/>
                <w:szCs w:val="18"/>
              </w:rPr>
              <w:t xml:space="preserve">Full incident autonomy  ·  Claims adjudication parallel run  ·  Predictive capacity  ·  QE 80%+</w:t>
            </w:r>
          </w:p>
        </w:tc>
        <w:tc>
          <w:tcPr>
            <w:tcW w:type="dxa" w:w="2808"/>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8"/>
                <w:szCs w:val="18"/>
              </w:rPr>
              <w:t xml:space="preserve">$6–10M takeout  ·  MTTR &lt;1.8 hrs  ·  99.9%+</w:t>
            </w:r>
          </w:p>
        </w:tc>
      </w:tr>
      <w:tr>
        <w:tc>
          <w:tcPr>
            <w:tcW w:type="dxa" w:w="1217"/>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01141"/>
                <w:sz w:val="18"/>
                <w:szCs w:val="18"/>
              </w:rPr>
              <w:t xml:space="preserve">Phase 4
Transform</w:t>
            </w:r>
          </w:p>
        </w:tc>
        <w:tc>
          <w:tcPr>
            <w:tcW w:type="dxa" w:w="842"/>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jc w:val="center"/>
            </w:pPr>
            <w:r>
              <w:rPr>
                <w:rFonts w:ascii="Calibri" w:cs="Calibri" w:eastAsia="Calibri" w:hAnsi="Calibri"/>
                <w:b w:val="false"/>
                <w:bCs w:val="false"/>
                <w:i w:val="false"/>
                <w:iCs w:val="false"/>
                <w:color w:val="8D8D8D"/>
                <w:sz w:val="18"/>
                <w:szCs w:val="18"/>
              </w:rPr>
              <w:t xml:space="preserve">Yr 1–2</w:t>
            </w:r>
          </w:p>
        </w:tc>
        <w:tc>
          <w:tcPr>
            <w:tcW w:type="dxa" w:w="4493"/>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val="false"/>
                <w:bCs w:val="false"/>
                <w:i w:val="false"/>
                <w:iCs w:val="false"/>
                <w:color w:val="525252"/>
                <w:sz w:val="18"/>
                <w:szCs w:val="18"/>
              </w:rPr>
              <w:t xml:space="preserve">Full autonomous P3/P4  ·  Enterprise observability  ·  Mainframe migration  ·  Member front door live</w:t>
            </w:r>
          </w:p>
        </w:tc>
        <w:tc>
          <w:tcPr>
            <w:tcW w:type="dxa" w:w="2808"/>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0F62FE"/>
                <w:sz w:val="18"/>
                <w:szCs w:val="18"/>
              </w:rPr>
              <w:t xml:space="preserve">40–50% cost takeout  ·  $12–18M+ total</w:t>
            </w:r>
          </w:p>
        </w:tc>
      </w:tr>
    </w:tbl>
    <w:p>
      <w:pPr>
        <w:sectPr>
          <w:headerReference w:type="default" r:id="rId45"/>
          <w:footerReference w:type="default" r:id="rId46"/>
          <w:type w:val="nextPage"/>
          <w:pgSz w:w="11906" w:h="16838" w:orient="portrait"/>
          <w:pgMar w:top="1152" w:right="1296" w:bottom="936" w:left="1296" w:header="708" w:footer="708" w:gutter="0"/>
          <w:pgNumType/>
          <w:cols w:num="1"/>
          <w:docGrid w:linePitch="360"/>
        </w:sectPr>
      </w:pPr>
    </w:p>
    <w:p>
      <w:pPr>
        <w:spacing w:after="80" w:before="0"/>
      </w:pPr>
      <w:r>
        <w:rPr>
          <w:rFonts w:ascii="Calibri" w:cs="Calibri" w:eastAsia="Calibri" w:hAnsi="Calibri"/>
          <w:sz w:val="8"/>
          <w:szCs w:val="8"/>
        </w:rPr>
        <w:t xml:space="preserve"/>
      </w:r>
    </w:p>
    <w:p>
      <w:pPr>
        <w:spacing w:after="60" w:before="40"/>
      </w:pPr>
      <w:r>
        <w:rPr>
          <w:rFonts w:ascii="Calibri" w:cs="Calibri" w:eastAsia="Calibri" w:hAnsi="Calibri"/>
          <w:b/>
          <w:bCs/>
          <w:i w:val="false"/>
          <w:iCs w:val="false"/>
          <w:color w:val="001141"/>
          <w:sz w:val="22"/>
          <w:szCs w:val="22"/>
        </w:rPr>
        <w:t xml:space="preserve">Transformation Portfolio</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60 initiatives across 3 delivery years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25 Year 1 — Technical Debt, Digital, Payer</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15 Active / In-Flight at launch</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All tracked live in CareOps360</w:t>
      </w:r>
    </w:p>
    <w:p>
      <w:pPr>
        <w:spacing w:after="60" w:before="80"/>
      </w:pPr>
      <w:r>
        <w:rPr>
          <w:rFonts w:ascii="Calibri" w:cs="Calibri" w:eastAsia="Calibri" w:hAnsi="Calibri"/>
          <w:b/>
          <w:bCs/>
          <w:i w:val="false"/>
          <w:iCs w:val="false"/>
          <w:color w:val="001141"/>
          <w:sz w:val="22"/>
          <w:szCs w:val="22"/>
        </w:rPr>
        <w:t xml:space="preserve">Technical Debt Governance</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All stacks at n−1 (one behind LTS)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Quarterly version review: IBM + Horizon ARB</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P1 CVEs: emergency patch within 72 hours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Year 1: 25 platform upgrades</w:t>
      </w:r>
    </w:p>
    <w:p>
      <w:r>
        <w:rPr>
          <w:rFonts w:ascii="Calibri" w:cs="Calibri" w:eastAsia="Calibri" w:hAnsi="Calibri"/>
          <w:sz w:val="4"/>
          <w:szCs w:val="4"/>
        </w:rPr>
        <w:r>
          <w:br w:type="column"/>
        </w:r>
      </w:r>
    </w:p>
    <w:p>
      <w:pPr>
        <w:spacing w:after="60" w:before="40"/>
      </w:pPr>
      <w:r>
        <w:rPr>
          <w:rFonts w:ascii="Calibri" w:cs="Calibri" w:eastAsia="Calibri" w:hAnsi="Calibri"/>
          <w:b/>
          <w:bCs/>
          <w:i w:val="false"/>
          <w:iCs w:val="false"/>
          <w:color w:val="001141"/>
          <w:sz w:val="22"/>
          <w:szCs w:val="22"/>
        </w:rPr>
        <w:t xml:space="preserve">Modernization Roadmap</w:t>
      </w:r>
    </w:p>
    <w:tbl>
      <w:tblPr>
        <w:tblW w:type="dxa" w:w="450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tblGrid>
      <w:tr>
        <w:tc>
          <w:tcPr>
            <w:tcW w:type="dxa" w:w="2250"/>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Workstream</w:t>
            </w:r>
          </w:p>
        </w:tc>
        <w:tc>
          <w:tcPr>
            <w:tcW w:type="dxa" w:w="2250"/>
            <w:tcBorders>
              <w:top w:val="single" w:color="0F62FE" w:sz="14"/>
              <w:left w:val="single" w:color="E0E0E0" w:sz="4"/>
              <w:bottom w:val="single" w:color="E0E0E0" w:sz="6"/>
              <w:right w:val="single" w:color="E0E0E0" w:sz="4"/>
            </w:tcBorders>
            <w:shd w:fill="D0E2FF" w:val="clear"/>
            <w:tcMar>
              <w:top w:type="dxa" w:w="40"/>
              <w:left w:type="dxa" w:w="120"/>
              <w:bottom w:type="dxa" w:w="40"/>
              <w:right w:type="dxa" w:w="120"/>
            </w:tcMar>
            <w:vAlign w:val="center"/>
          </w:tcPr>
          <w:p>
            <w:pPr>
              <w:spacing w:after="50" w:before="50"/>
            </w:pPr>
            <w:r>
              <w:rPr>
                <w:rFonts w:ascii="Calibri" w:cs="Calibri" w:eastAsia="Calibri" w:hAnsi="Calibri"/>
                <w:b/>
                <w:bCs/>
                <w:i w:val="false"/>
                <w:iCs w:val="false"/>
                <w:color w:val="001141"/>
                <w:sz w:val="18"/>
                <w:szCs w:val="18"/>
              </w:rPr>
              <w:t xml:space="preserve">Timeline</w:t>
            </w:r>
          </w:p>
        </w:tc>
      </w:tr>
      <w:tr>
        <w:tc>
          <w:tcPr>
            <w:tcW w:type="dxa" w:w="2250"/>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Eligibility Processing</w:t>
            </w:r>
          </w:p>
        </w:tc>
        <w:tc>
          <w:tcPr>
            <w:tcW w:type="dxa" w:w="2250"/>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7"/>
                <w:szCs w:val="17"/>
              </w:rPr>
              <w:t xml:space="preserve">Q2–Q4 2026</w:t>
            </w:r>
          </w:p>
        </w:tc>
      </w:tr>
      <w:tr>
        <w:tc>
          <w:tcPr>
            <w:tcW w:type="dxa" w:w="2250"/>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COBOL→Java Pilot</w:t>
            </w:r>
          </w:p>
        </w:tc>
        <w:tc>
          <w:tcPr>
            <w:tcW w:type="dxa" w:w="2250"/>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7"/>
                <w:szCs w:val="17"/>
              </w:rPr>
              <w:t xml:space="preserve">Q3 2026</w:t>
            </w:r>
          </w:p>
        </w:tc>
      </w:tr>
      <w:tr>
        <w:tc>
          <w:tcPr>
            <w:tcW w:type="dxa" w:w="2250"/>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Payments Settlement</w:t>
            </w:r>
          </w:p>
        </w:tc>
        <w:tc>
          <w:tcPr>
            <w:tcW w:type="dxa" w:w="2250"/>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7"/>
                <w:szCs w:val="17"/>
              </w:rPr>
              <w:t xml:space="preserve">Q3 2026</w:t>
            </w:r>
          </w:p>
        </w:tc>
      </w:tr>
      <w:tr>
        <w:tc>
          <w:tcPr>
            <w:tcW w:type="dxa" w:w="2250"/>
            <w:tcBorders>
              <w:top w:val="single" w:color="E0E0E0" w:sz="4"/>
              <w:left w:val="single" w:color="E0E0E0" w:sz="4"/>
              <w:bottom w:val="single" w:color="E0E0E0" w:sz="4"/>
              <w:right w:val="single" w:color="E0E0E0" w:sz="4"/>
            </w:tcBorders>
            <w:shd w:fill="F4F4F4"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Claims Engine</w:t>
            </w:r>
          </w:p>
        </w:tc>
        <w:tc>
          <w:tcPr>
            <w:tcW w:type="dxa" w:w="2250"/>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7"/>
                <w:szCs w:val="17"/>
              </w:rPr>
              <w:t xml:space="preserve">Q1–Q2 2027</w:t>
            </w:r>
          </w:p>
        </w:tc>
      </w:tr>
      <w:tr>
        <w:tc>
          <w:tcPr>
            <w:tcW w:type="dxa" w:w="2250"/>
            <w:tcBorders>
              <w:top w:val="single" w:color="E0E0E0" w:sz="4"/>
              <w:left w:val="single" w:color="E0E0E0" w:sz="4"/>
              <w:bottom w:val="single" w:color="E0E0E0" w:sz="4"/>
              <w:right w:val="single" w:color="E0E0E0" w:sz="4"/>
            </w:tcBorders>
            <w:shd w:fill="FFFFFF" w:val="clear"/>
            <w:tcMar>
              <w:top w:type="dxa" w:w="40"/>
              <w:left w:type="dxa" w:w="120"/>
              <w:bottom w:type="dxa" w:w="40"/>
              <w:right w:type="dxa" w:w="120"/>
            </w:tcMar>
            <w:vAlign w:val="center"/>
          </w:tcPr>
          <w:p>
            <w:pPr>
              <w:spacing w:after="30" w:before="30"/>
            </w:pPr>
            <w:r>
              <w:rPr>
                <w:rFonts w:ascii="Calibri" w:cs="Calibri" w:eastAsia="Calibri" w:hAnsi="Calibri"/>
                <w:b/>
                <w:bCs/>
                <w:i w:val="false"/>
                <w:iCs w:val="false"/>
                <w:color w:val="161616"/>
                <w:sz w:val="17"/>
                <w:szCs w:val="17"/>
              </w:rPr>
              <w:t xml:space="preserve">Member Data Lake</w:t>
            </w:r>
          </w:p>
        </w:tc>
        <w:tc>
          <w:tcPr>
            <w:tcW w:type="dxa" w:w="2250"/>
            <w:tcBorders>
              <w:top w:val="single" w:color="E0E0E0" w:sz="4"/>
              <w:left w:val="single" w:color="E0E0E0" w:sz="4"/>
              <w:bottom w:val="single" w:color="E0E0E0" w:sz="4"/>
              <w:right w:val="single" w:color="E0E0E0" w:sz="4"/>
            </w:tcBorders>
            <w:shd w:fill="EBF2FF" w:val="clear"/>
            <w:tcMar>
              <w:top w:type="dxa" w:w="40"/>
              <w:left w:type="dxa" w:w="120"/>
              <w:bottom w:type="dxa" w:w="40"/>
              <w:right w:type="dxa" w:w="120"/>
            </w:tcMar>
            <w:vAlign w:val="center"/>
          </w:tcPr>
          <w:p>
            <w:pPr>
              <w:spacing w:after="30" w:before="30"/>
              <w:jc w:val="center"/>
            </w:pPr>
            <w:r>
              <w:rPr>
                <w:rFonts w:ascii="Calibri" w:cs="Calibri" w:eastAsia="Calibri" w:hAnsi="Calibri"/>
                <w:b/>
                <w:bCs/>
                <w:i w:val="false"/>
                <w:iCs w:val="false"/>
                <w:color w:val="0F62FE"/>
                <w:sz w:val="17"/>
                <w:szCs w:val="17"/>
              </w:rPr>
              <w:t xml:space="preserve">Q4 2026+</w:t>
            </w:r>
          </w:p>
        </w:tc>
      </w:tr>
    </w:tbl>
    <w:p>
      <w:pPr>
        <w:spacing w:after="80" w:before="0"/>
      </w:pPr>
      <w:r>
        <w:rPr>
          <w:rFonts w:ascii="Calibri" w:cs="Calibri" w:eastAsia="Calibri" w:hAnsi="Calibri"/>
          <w:sz w:val="8"/>
          <w:szCs w:val="8"/>
        </w:rPr>
        <w:t xml:space="preserve"/>
      </w:r>
    </w:p>
    <w:p>
      <w:pPr>
        <w:spacing w:after="60" w:before="40"/>
      </w:pPr>
      <w:r>
        <w:rPr>
          <w:rFonts w:ascii="Calibri" w:cs="Calibri" w:eastAsia="Calibri" w:hAnsi="Calibri"/>
          <w:b/>
          <w:bCs/>
          <w:i w:val="false"/>
          <w:iCs w:val="false"/>
          <w:color w:val="001141"/>
          <w:sz w:val="22"/>
          <w:szCs w:val="22"/>
        </w:rPr>
        <w:t xml:space="preserve">Cumulative Value</w:t>
      </w:r>
    </w:p>
    <w:tbl>
      <w:tblPr>
        <w:tblW w:type="dxa" w:w="450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tblGrid>
      <w:tr>
        <w:tc>
          <w:tcPr>
            <w:tcW w:type="dxa" w:w="1350"/>
            <w:tcBorders>
              <w:top w:val="none" w:color="auto" w:sz="0"/>
              <w:left w:val="none" w:color="auto" w:sz="0"/>
              <w:bottom w:val="none" w:color="auto" w:sz="0"/>
              <w:right w:val="none" w:color="auto" w:sz="0"/>
            </w:tcBorders>
            <w:shd w:fill="FFFFFF" w:val="clear"/>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Month 3</w:t>
            </w:r>
          </w:p>
        </w:tc>
        <w:tc>
          <w:tcPr>
            <w:tcW w:type="dxa" w:w="313"/>
            <w:tcBorders>
              <w:top w:val="none" w:color="auto" w:sz="0"/>
              <w:left w:val="none" w:color="auto" w:sz="0"/>
              <w:bottom w:val="none" w:color="auto" w:sz="0"/>
              <w:right w:val="none" w:color="auto" w:sz="0"/>
            </w:tcBorders>
            <w:shd w:fill="0072C3" w:val="clear"/>
          </w:tcPr>
          <w:p>
            <w:pPr>
              <w:spacing w:after="0" w:before="0"/>
            </w:pPr>
            <w:r>
              <w:rPr>
                <w:rFonts w:ascii="Calibri" w:cs="Calibri" w:eastAsia="Calibri" w:hAnsi="Calibri"/>
                <w:sz w:val="8"/>
                <w:szCs w:val="8"/>
              </w:rPr>
              <w:t xml:space="preserve"/>
            </w:r>
          </w:p>
        </w:tc>
        <w:tc>
          <w:tcPr>
            <w:tcW w:type="dxa" w:w="2297"/>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8"/>
                <w:szCs w:val="8"/>
              </w:rPr>
              <w:t xml:space="preserve"/>
            </w:r>
          </w:p>
        </w:tc>
        <w:tc>
          <w:tcPr>
            <w:tcW w:type="dxa" w:w="540"/>
            <w:tcBorders>
              <w:top w:val="none" w:color="auto" w:sz="0"/>
              <w:left w:val="none" w:color="auto" w:sz="0"/>
              <w:bottom w:val="none" w:color="auto" w:sz="0"/>
              <w:right w:val="none" w:color="auto" w:sz="0"/>
            </w:tcBorders>
            <w:shd w:fill="FFFFFF" w:val="clear"/>
            <w:tcMar>
              <w:top w:type="dxa" w:w="40"/>
              <w:left w:type="dxa" w:w="80"/>
              <w:bottom w:type="dxa" w:w="40"/>
            </w:tcMar>
            <w:vAlign w:val="center"/>
          </w:tcPr>
          <w:p>
            <w:pPr>
              <w:spacing w:after="0" w:before="0"/>
              <w:jc w:val="right"/>
            </w:pPr>
            <w:r>
              <w:rPr>
                <w:rFonts w:ascii="Calibri" w:cs="Calibri" w:eastAsia="Calibri" w:hAnsi="Calibri"/>
                <w:b/>
                <w:bCs/>
                <w:i w:val="false"/>
                <w:iCs w:val="false"/>
                <w:color w:val="0072C3"/>
                <w:sz w:val="18"/>
                <w:szCs w:val="18"/>
              </w:rPr>
              <w:t xml:space="preserve">$1–2M</w:t>
            </w:r>
          </w:p>
        </w:tc>
      </w:tr>
      <w:tr>
        <w:tc>
          <w:tcPr>
            <w:tcW w:type="dxa" w:w="1350"/>
            <w:tcBorders>
              <w:top w:val="none" w:color="auto" w:sz="0"/>
              <w:left w:val="none" w:color="auto" w:sz="0"/>
              <w:bottom w:val="none" w:color="auto" w:sz="0"/>
              <w:right w:val="none" w:color="auto" w:sz="0"/>
            </w:tcBorders>
            <w:shd w:fill="FFFFFF" w:val="clear"/>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Month 6</w:t>
            </w:r>
          </w:p>
        </w:tc>
        <w:tc>
          <w:tcPr>
            <w:tcW w:type="dxa" w:w="783"/>
            <w:tcBorders>
              <w:top w:val="none" w:color="auto" w:sz="0"/>
              <w:left w:val="none" w:color="auto" w:sz="0"/>
              <w:bottom w:val="none" w:color="auto" w:sz="0"/>
              <w:right w:val="none" w:color="auto" w:sz="0"/>
            </w:tcBorders>
            <w:shd w:fill="0043CE" w:val="clear"/>
          </w:tcPr>
          <w:p>
            <w:pPr>
              <w:spacing w:after="0" w:before="0"/>
            </w:pPr>
            <w:r>
              <w:rPr>
                <w:rFonts w:ascii="Calibri" w:cs="Calibri" w:eastAsia="Calibri" w:hAnsi="Calibri"/>
                <w:sz w:val="8"/>
                <w:szCs w:val="8"/>
              </w:rPr>
              <w:t xml:space="preserve"/>
            </w:r>
          </w:p>
        </w:tc>
        <w:tc>
          <w:tcPr>
            <w:tcW w:type="dxa" w:w="1827"/>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8"/>
                <w:szCs w:val="8"/>
              </w:rPr>
              <w:t xml:space="preserve"/>
            </w:r>
          </w:p>
        </w:tc>
        <w:tc>
          <w:tcPr>
            <w:tcW w:type="dxa" w:w="540"/>
            <w:tcBorders>
              <w:top w:val="none" w:color="auto" w:sz="0"/>
              <w:left w:val="none" w:color="auto" w:sz="0"/>
              <w:bottom w:val="none" w:color="auto" w:sz="0"/>
              <w:right w:val="none" w:color="auto" w:sz="0"/>
            </w:tcBorders>
            <w:shd w:fill="FFFFFF" w:val="clear"/>
            <w:tcMar>
              <w:top w:type="dxa" w:w="40"/>
              <w:left w:type="dxa" w:w="80"/>
              <w:bottom w:type="dxa" w:w="40"/>
            </w:tcMar>
            <w:vAlign w:val="center"/>
          </w:tcPr>
          <w:p>
            <w:pPr>
              <w:spacing w:after="0" w:before="0"/>
              <w:jc w:val="right"/>
            </w:pPr>
            <w:r>
              <w:rPr>
                <w:rFonts w:ascii="Calibri" w:cs="Calibri" w:eastAsia="Calibri" w:hAnsi="Calibri"/>
                <w:b/>
                <w:bCs/>
                <w:i w:val="false"/>
                <w:iCs w:val="false"/>
                <w:color w:val="0043CE"/>
                <w:sz w:val="18"/>
                <w:szCs w:val="18"/>
              </w:rPr>
              <w:t xml:space="preserve">$3–5M</w:t>
            </w:r>
          </w:p>
        </w:tc>
      </w:tr>
      <w:tr>
        <w:tc>
          <w:tcPr>
            <w:tcW w:type="dxa" w:w="1350"/>
            <w:tcBorders>
              <w:top w:val="none" w:color="auto" w:sz="0"/>
              <w:left w:val="none" w:color="auto" w:sz="0"/>
              <w:bottom w:val="none" w:color="auto" w:sz="0"/>
              <w:right w:val="none" w:color="auto" w:sz="0"/>
            </w:tcBorders>
            <w:shd w:fill="FFFFFF" w:val="clear"/>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Month 12</w:t>
            </w:r>
          </w:p>
        </w:tc>
        <w:tc>
          <w:tcPr>
            <w:tcW w:type="dxa" w:w="1566"/>
            <w:tcBorders>
              <w:top w:val="none" w:color="auto" w:sz="0"/>
              <w:left w:val="none" w:color="auto" w:sz="0"/>
              <w:bottom w:val="none" w:color="auto" w:sz="0"/>
              <w:right w:val="none" w:color="auto" w:sz="0"/>
            </w:tcBorders>
            <w:shd w:fill="0F62FE" w:val="clear"/>
          </w:tcPr>
          <w:p>
            <w:pPr>
              <w:spacing w:after="0" w:before="0"/>
            </w:pPr>
            <w:r>
              <w:rPr>
                <w:rFonts w:ascii="Calibri" w:cs="Calibri" w:eastAsia="Calibri" w:hAnsi="Calibri"/>
                <w:sz w:val="8"/>
                <w:szCs w:val="8"/>
              </w:rPr>
              <w:t xml:space="preserve"/>
            </w:r>
          </w:p>
        </w:tc>
        <w:tc>
          <w:tcPr>
            <w:tcW w:type="dxa" w:w="1044"/>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8"/>
                <w:szCs w:val="8"/>
              </w:rPr>
              <w:t xml:space="preserve"/>
            </w:r>
          </w:p>
        </w:tc>
        <w:tc>
          <w:tcPr>
            <w:tcW w:type="dxa" w:w="540"/>
            <w:tcBorders>
              <w:top w:val="none" w:color="auto" w:sz="0"/>
              <w:left w:val="none" w:color="auto" w:sz="0"/>
              <w:bottom w:val="none" w:color="auto" w:sz="0"/>
              <w:right w:val="none" w:color="auto" w:sz="0"/>
            </w:tcBorders>
            <w:shd w:fill="FFFFFF" w:val="clear"/>
            <w:tcMar>
              <w:top w:type="dxa" w:w="40"/>
              <w:left w:type="dxa" w:w="80"/>
              <w:bottom w:type="dxa" w:w="40"/>
            </w:tcMar>
            <w:vAlign w:val="center"/>
          </w:tcPr>
          <w:p>
            <w:pPr>
              <w:spacing w:after="0" w:before="0"/>
              <w:jc w:val="right"/>
            </w:pPr>
            <w:r>
              <w:rPr>
                <w:rFonts w:ascii="Calibri" w:cs="Calibri" w:eastAsia="Calibri" w:hAnsi="Calibri"/>
                <w:b/>
                <w:bCs/>
                <w:i w:val="false"/>
                <w:iCs w:val="false"/>
                <w:color w:val="0F62FE"/>
                <w:sz w:val="18"/>
                <w:szCs w:val="18"/>
              </w:rPr>
              <w:t xml:space="preserve">$6–10M</w:t>
            </w:r>
          </w:p>
        </w:tc>
      </w:tr>
      <w:tr>
        <w:tc>
          <w:tcPr>
            <w:tcW w:type="dxa" w:w="1350"/>
            <w:tcBorders>
              <w:top w:val="none" w:color="auto" w:sz="0"/>
              <w:left w:val="none" w:color="auto" w:sz="0"/>
              <w:bottom w:val="none" w:color="auto" w:sz="0"/>
              <w:right w:val="none" w:color="auto" w:sz="0"/>
            </w:tcBorders>
            <w:shd w:fill="FFFFFF" w:val="clear"/>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Month 24</w:t>
            </w:r>
          </w:p>
        </w:tc>
        <w:tc>
          <w:tcPr>
            <w:tcW w:type="dxa" w:w="2610"/>
            <w:tcBorders>
              <w:top w:val="none" w:color="auto" w:sz="0"/>
              <w:left w:val="none" w:color="auto" w:sz="0"/>
              <w:bottom w:val="none" w:color="auto" w:sz="0"/>
              <w:right w:val="none" w:color="auto" w:sz="0"/>
            </w:tcBorders>
            <w:shd w:fill="001141" w:val="clear"/>
          </w:tcPr>
          <w:p>
            <w:pPr>
              <w:spacing w:after="0" w:before="0"/>
            </w:pPr>
            <w:r>
              <w:rPr>
                <w:rFonts w:ascii="Calibri" w:cs="Calibri" w:eastAsia="Calibri" w:hAnsi="Calibri"/>
                <w:sz w:val="8"/>
                <w:szCs w:val="8"/>
              </w:rPr>
              <w:t xml:space="preserve"/>
            </w:r>
          </w:p>
        </w:tc>
        <w:tc>
          <w:tcPr>
            <w:tcW w:type="dxa" w:w="0"/>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8"/>
                <w:szCs w:val="8"/>
              </w:rPr>
              <w:t xml:space="preserve"/>
            </w:r>
          </w:p>
        </w:tc>
        <w:tc>
          <w:tcPr>
            <w:tcW w:type="dxa" w:w="540"/>
            <w:tcBorders>
              <w:top w:val="none" w:color="auto" w:sz="0"/>
              <w:left w:val="none" w:color="auto" w:sz="0"/>
              <w:bottom w:val="none" w:color="auto" w:sz="0"/>
              <w:right w:val="none" w:color="auto" w:sz="0"/>
            </w:tcBorders>
            <w:shd w:fill="FFFFFF" w:val="clear"/>
            <w:tcMar>
              <w:top w:type="dxa" w:w="40"/>
              <w:left w:type="dxa" w:w="80"/>
              <w:bottom w:type="dxa" w:w="40"/>
            </w:tcMar>
            <w:vAlign w:val="center"/>
          </w:tcPr>
          <w:p>
            <w:pPr>
              <w:spacing w:after="0" w:before="0"/>
              <w:jc w:val="right"/>
            </w:pPr>
            <w:r>
              <w:rPr>
                <w:rFonts w:ascii="Calibri" w:cs="Calibri" w:eastAsia="Calibri" w:hAnsi="Calibri"/>
                <w:b/>
                <w:bCs/>
                <w:i w:val="false"/>
                <w:iCs w:val="false"/>
                <w:color w:val="001141"/>
                <w:sz w:val="18"/>
                <w:szCs w:val="18"/>
              </w:rPr>
              <w:t xml:space="preserve">$12–18M+</w:t>
            </w:r>
          </w:p>
        </w:tc>
      </w:tr>
    </w:tbl>
    <w:p>
      <w:pPr>
        <w:sectPr>
          <w:headerReference w:type="default" r:id="rId47"/>
          <w:footerReference w:type="default" r:id="rId48"/>
          <w:type w:val="continuous"/>
          <w:pgSz w:w="11906" w:h="16838" w:orient="portrait"/>
          <w:pgMar w:top="1152" w:right="1296" w:bottom="936" w:left="1296" w:header="708" w:footer="708" w:gutter="0"/>
          <w:pgNumType/>
          <w:cols w:space="504" w:num="2" w:sep="false"/>
          <w:docGrid w:linePitch="360"/>
        </w:sectPr>
      </w:pPr>
    </w:p>
    <w:p>
      <w:pPr>
        <w:spacing w:after="80" w:before="0"/>
      </w:pPr>
      <w:r>
        <w:rPr>
          <w:rFonts w:ascii="Calibri" w:cs="Calibri" w:eastAsia="Calibri" w:hAnsi="Calibri"/>
          <w:sz w:val="8"/>
          <w:szCs w:val="8"/>
        </w:rPr>
        <w:t xml:space="preserve"/>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tblGrid>
      <w:tr>
        <w:tc>
          <w:tcPr>
            <w:tcW w:type="dxa" w:w="2340"/>
            <w:tcBorders>
              <w:top w:val="single" w:color="0F62FE"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0F62FE"/>
                <w:sz w:val="48"/>
                <w:szCs w:val="48"/>
              </w:rPr>
              <w:t xml:space="preserve">~1,000</w:t>
            </w:r>
          </w:p>
          <w:p>
            <w:pPr>
              <w:spacing w:after="120" w:before="0"/>
              <w:jc w:val="center"/>
            </w:pPr>
            <w:r>
              <w:rPr>
                <w:rFonts w:ascii="Calibri" w:cs="Calibri" w:eastAsia="Calibri" w:hAnsi="Calibri"/>
                <w:b/>
                <w:bCs/>
                <w:i w:val="false"/>
                <w:iCs w:val="false"/>
                <w:color w:val="001141"/>
                <w:sz w:val="17"/>
                <w:szCs w:val="17"/>
              </w:rPr>
              <w:t xml:space="preserve">Applications Assessed</w:t>
            </w:r>
          </w:p>
        </w:tc>
        <w:tc>
          <w:tcPr>
            <w:tcW w:type="dxa" w:w="2340"/>
            <w:tcBorders>
              <w:top w:val="single" w:color="0043CE"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0043CE"/>
                <w:sz w:val="48"/>
                <w:szCs w:val="48"/>
              </w:rPr>
              <w:t xml:space="preserve">COBOL→Java</w:t>
            </w:r>
          </w:p>
          <w:p>
            <w:pPr>
              <w:spacing w:after="120" w:before="0"/>
              <w:jc w:val="center"/>
            </w:pPr>
            <w:r>
              <w:rPr>
                <w:rFonts w:ascii="Calibri" w:cs="Calibri" w:eastAsia="Calibri" w:hAnsi="Calibri"/>
                <w:b/>
                <w:bCs/>
                <w:i w:val="false"/>
                <w:iCs w:val="false"/>
                <w:color w:val="001141"/>
                <w:sz w:val="17"/>
                <w:szCs w:val="17"/>
              </w:rPr>
              <w:t xml:space="preserve">AI-Assisted Conversion</w:t>
            </w:r>
          </w:p>
        </w:tc>
        <w:tc>
          <w:tcPr>
            <w:tcW w:type="dxa" w:w="2340"/>
            <w:tcBorders>
              <w:top w:val="single" w:color="007D79"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007D79"/>
                <w:sz w:val="48"/>
                <w:szCs w:val="48"/>
              </w:rPr>
              <w:t xml:space="preserve">n−1/2</w:t>
            </w:r>
          </w:p>
          <w:p>
            <w:pPr>
              <w:spacing w:after="120" w:before="0"/>
              <w:jc w:val="center"/>
            </w:pPr>
            <w:r>
              <w:rPr>
                <w:rFonts w:ascii="Calibri" w:cs="Calibri" w:eastAsia="Calibri" w:hAnsi="Calibri"/>
                <w:b/>
                <w:bCs/>
                <w:i w:val="false"/>
                <w:iCs w:val="false"/>
                <w:color w:val="001141"/>
                <w:sz w:val="17"/>
                <w:szCs w:val="17"/>
              </w:rPr>
              <w:t xml:space="preserve">Stack Governance</w:t>
            </w:r>
          </w:p>
        </w:tc>
        <w:tc>
          <w:tcPr>
            <w:tcW w:type="dxa" w:w="2340"/>
            <w:tcBorders>
              <w:top w:val="single" w:color="6929C4"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6929C4"/>
                <w:sz w:val="48"/>
                <w:szCs w:val="48"/>
              </w:rPr>
              <w:t xml:space="preserve">Zero</w:t>
            </w:r>
          </w:p>
          <w:p>
            <w:pPr>
              <w:spacing w:after="120" w:before="0"/>
              <w:jc w:val="center"/>
            </w:pPr>
            <w:r>
              <w:rPr>
                <w:rFonts w:ascii="Calibri" w:cs="Calibri" w:eastAsia="Calibri" w:hAnsi="Calibri"/>
                <w:b/>
                <w:bCs/>
                <w:i w:val="false"/>
                <w:iCs w:val="false"/>
                <w:color w:val="001141"/>
                <w:sz w:val="17"/>
                <w:szCs w:val="17"/>
              </w:rPr>
              <w:t xml:space="preserve">Disruption Commitment</w:t>
            </w:r>
          </w:p>
        </w:tc>
      </w:tr>
    </w:tbl>
    <w:p>
      <w:pPr>
        <w:sectPr>
          <w:headerReference w:type="default" r:id="rId49"/>
          <w:footerReference w:type="default" r:id="rId50"/>
          <w:type w:val="continuous"/>
          <w:pgSz w:w="11906" w:h="16838" w:orient="portrait"/>
          <w:pgMar w:top="1152" w:right="1296" w:bottom="936" w:left="1296" w:header="708" w:footer="708" w:gutter="0"/>
          <w:pgNumType/>
          <w:cols w:num="1"/>
          <w:docGrid w:linePitch="360"/>
        </w:sectPr>
      </w:pPr>
    </w:p>
    <w:p>
      <w:pPr>
        <w:pBdr>
          <w:top w:val="single" w:color="0F62FE" w:sz="18" w:space="8"/>
        </w:pBdr>
        <w:spacing w:after="60" w:before="0"/>
      </w:pPr>
    </w:p>
    <w:p>
      <w:pPr>
        <w:spacing w:after="40" w:before="0"/>
      </w:pPr>
      <w:r>
        <w:rPr>
          <w:rFonts w:ascii="Calibri" w:cs="Calibri" w:eastAsia="Calibri" w:hAnsi="Calibri"/>
          <w:b/>
          <w:bCs/>
          <w:i w:val="false"/>
          <w:iCs w:val="false"/>
          <w:color w:val="0F62FE"/>
          <w:sz w:val="18"/>
          <w:szCs w:val="18"/>
        </w:rPr>
        <w:t xml:space="preserve">09  </w:t>
      </w:r>
      <w:r>
        <w:rPr>
          <w:rFonts w:ascii="Calibri" w:cs="Calibri" w:eastAsia="Calibri" w:hAnsi="Calibri"/>
          <w:b/>
          <w:bCs/>
          <w:i w:val="false"/>
          <w:iCs w:val="false"/>
          <w:color w:val="001141"/>
          <w:sz w:val="32"/>
          <w:szCs w:val="32"/>
        </w:rPr>
        <w:t xml:space="preserve">Why IBM — and Why Now</w:t>
      </w:r>
    </w:p>
    <w:p>
      <w:pPr>
        <w:spacing w:after="120" w:before="0"/>
      </w:pPr>
      <w:r>
        <w:rPr>
          <w:rFonts w:ascii="Calibri" w:cs="Calibri" w:eastAsia="Calibri" w:hAnsi="Calibri"/>
          <w:b w:val="false"/>
          <w:bCs w:val="false"/>
          <w:i/>
          <w:iCs/>
          <w:color w:val="8D8D8D"/>
          <w:sz w:val="19"/>
          <w:szCs w:val="19"/>
        </w:rPr>
        <w:t xml:space="preserve">Scale, Depth, Skin in the Game &amp; Next Steps</w:t>
      </w:r>
    </w:p>
    <w:p>
      <w:pPr>
        <w:spacing w:after="60" w:before="0"/>
      </w:pPr>
      <w:r>
        <w:rPr>
          <w:rFonts w:ascii="Calibri" w:cs="Calibri" w:eastAsia="Calibri" w:hAnsi="Calibri"/>
          <w:sz w:val="8"/>
          <w:szCs w:val="8"/>
        </w:rPr>
        <w:t xml:space="preserve"/>
      </w:r>
    </w:p>
    <w:p>
      <w:pPr>
        <w:pBdr>
          <w:left w:val="single" w:color="0F62FE" w:sz="18" w:space="10"/>
        </w:pBdr>
        <w:spacing w:after="20" w:before="40"/>
        <w:ind w:left="504"/>
      </w:pPr>
      <w:r>
        <w:rPr>
          <w:rFonts w:ascii="Calibri" w:cs="Calibri" w:eastAsia="Calibri" w:hAnsi="Calibri"/>
          <w:b w:val="false"/>
          <w:bCs w:val="false"/>
          <w:i/>
          <w:iCs/>
          <w:color w:val="001141"/>
          <w:sz w:val="21"/>
          <w:szCs w:val="21"/>
        </w:rPr>
        <w:t xml:space="preserve">“IBM’s ultimate accountability is not to a contract — it is to the 3.7 million members who rely on Horizon’s systems every day. The patient waiting for a prior auth. The provider navigating a claims dispute. The family enrolling for the first time.”</w:t>
      </w:r>
    </w:p>
    <w:p>
      <w:pPr>
        <w:spacing w:after="100" w:before="0"/>
        <w:jc w:val="right"/>
      </w:pPr>
      <w:r>
        <w:rPr>
          <w:rFonts w:ascii="Calibri" w:cs="Calibri" w:eastAsia="Calibri" w:hAnsi="Calibri"/>
          <w:b/>
          <w:bCs/>
          <w:i w:val="false"/>
          <w:iCs w:val="false"/>
          <w:color w:val="0F62FE"/>
          <w:sz w:val="17"/>
          <w:szCs w:val="17"/>
        </w:rPr>
        <w:t xml:space="preserve">— IBM Consulting, Healthcare &amp; Payer Delivery</w:t>
      </w:r>
    </w:p>
    <w:p>
      <w:pPr>
        <w:sectPr>
          <w:headerReference w:type="default" r:id="rId51"/>
          <w:footerReference w:type="default" r:id="rId52"/>
          <w:type w:val="nextPage"/>
          <w:pgSz w:w="11906" w:h="16838" w:orient="portrait"/>
          <w:pgMar w:top="1152" w:right="1296" w:bottom="936" w:left="1296" w:header="708" w:footer="708" w:gutter="0"/>
          <w:pgNumType/>
          <w:cols w:num="1"/>
          <w:docGrid w:linePitch="360"/>
        </w:sectPr>
      </w:pPr>
    </w:p>
    <w:p>
      <w:pPr>
        <w:spacing w:after="60" w:before="40"/>
      </w:pPr>
      <w:r>
        <w:rPr>
          <w:rFonts w:ascii="Calibri" w:cs="Calibri" w:eastAsia="Calibri" w:hAnsi="Calibri"/>
          <w:b/>
          <w:bCs/>
          <w:i w:val="false"/>
          <w:iCs w:val="false"/>
          <w:color w:val="001141"/>
          <w:sz w:val="22"/>
          <w:szCs w:val="22"/>
        </w:rPr>
        <w:t xml:space="preserve">What Differentiates IBM</w:t>
      </w:r>
    </w:p>
    <w:p>
      <w:pPr>
        <w:spacing w:after="40" w:before="100"/>
      </w:pPr>
      <w:r>
        <w:rPr>
          <w:rFonts w:ascii="Calibri" w:cs="Calibri" w:eastAsia="Calibri" w:hAnsi="Calibri"/>
          <w:b/>
          <w:bCs/>
          <w:i w:val="false"/>
          <w:iCs w:val="false"/>
          <w:color w:val="0F62FE"/>
          <w:sz w:val="20"/>
          <w:szCs w:val="20"/>
        </w:rPr>
        <w:t xml:space="preserve">Skin in the Game</w:t>
      </w:r>
    </w:p>
    <w:p>
      <w:pPr>
        <w:spacing w:after="80" w:before="0"/>
      </w:pPr>
      <w:r>
        <w:rPr>
          <w:rFonts w:ascii="Calibri" w:cs="Calibri" w:eastAsia="Calibri" w:hAnsi="Calibri"/>
          <w:b w:val="false"/>
          <w:bCs w:val="false"/>
          <w:i w:val="false"/>
          <w:iCs w:val="false"/>
          <w:color w:val="525252"/>
          <w:sz w:val="19"/>
          <w:szCs w:val="19"/>
        </w:rPr>
        <w:t xml:space="preserve">Outcome-based SLAs. Targets missed trigger IBM remediation — not renegotiations. IBM carries the delivery risk.</w:t>
      </w:r>
    </w:p>
    <w:p>
      <w:pPr>
        <w:spacing w:after="40" w:before="100"/>
      </w:pPr>
      <w:r>
        <w:rPr>
          <w:rFonts w:ascii="Calibri" w:cs="Calibri" w:eastAsia="Calibri" w:hAnsi="Calibri"/>
          <w:b/>
          <w:bCs/>
          <w:i w:val="false"/>
          <w:iCs w:val="false"/>
          <w:color w:val="0F62FE"/>
          <w:sz w:val="20"/>
          <w:szCs w:val="20"/>
        </w:rPr>
        <w:t xml:space="preserve">AI at Depth</w:t>
      </w:r>
    </w:p>
    <w:p>
      <w:pPr>
        <w:spacing w:after="80" w:before="0"/>
      </w:pPr>
      <w:r>
        <w:rPr>
          <w:rFonts w:ascii="Calibri" w:cs="Calibri" w:eastAsia="Calibri" w:hAnsi="Calibri"/>
          <w:b w:val="false"/>
          <w:bCs w:val="false"/>
          <w:i w:val="false"/>
          <w:iCs w:val="false"/>
          <w:color w:val="525252"/>
          <w:sz w:val="19"/>
          <w:szCs w:val="19"/>
        </w:rPr>
        <w:t xml:space="preserve">Agentic AI, GenAI, AIOps production-proven at comparable payers. Live today, not future roadmap.</w:t>
      </w:r>
    </w:p>
    <w:p>
      <w:pPr>
        <w:spacing w:after="40" w:before="100"/>
      </w:pPr>
      <w:r>
        <w:rPr>
          <w:rFonts w:ascii="Calibri" w:cs="Calibri" w:eastAsia="Calibri" w:hAnsi="Calibri"/>
          <w:b/>
          <w:bCs/>
          <w:i w:val="false"/>
          <w:iCs w:val="false"/>
          <w:color w:val="0F62FE"/>
          <w:sz w:val="20"/>
          <w:szCs w:val="20"/>
        </w:rPr>
        <w:t xml:space="preserve">Consulting Advantage</w:t>
      </w:r>
    </w:p>
    <w:p>
      <w:pPr>
        <w:spacing w:after="80" w:before="0"/>
      </w:pPr>
      <w:r>
        <w:rPr>
          <w:rFonts w:ascii="Calibri" w:cs="Calibri" w:eastAsia="Calibri" w:hAnsi="Calibri"/>
          <w:b w:val="false"/>
          <w:bCs w:val="false"/>
          <w:i w:val="false"/>
          <w:iCs w:val="false"/>
          <w:color w:val="525252"/>
          <w:sz w:val="19"/>
          <w:szCs w:val="19"/>
        </w:rPr>
        <w:t xml:space="preserve">6,500+ production-tested assets. IBM Build on Bedrock (BOB). Accelerated value from Day 1.</w:t>
      </w:r>
    </w:p>
    <w:p>
      <w:pPr>
        <w:spacing w:after="40" w:before="100"/>
      </w:pPr>
      <w:r>
        <w:rPr>
          <w:rFonts w:ascii="Calibri" w:cs="Calibri" w:eastAsia="Calibri" w:hAnsi="Calibri"/>
          <w:b/>
          <w:bCs/>
          <w:i w:val="false"/>
          <w:iCs w:val="false"/>
          <w:color w:val="0F62FE"/>
          <w:sz w:val="20"/>
          <w:szCs w:val="20"/>
        </w:rPr>
        <w:t xml:space="preserve">Transformation Office</w:t>
      </w:r>
    </w:p>
    <w:p>
      <w:pPr>
        <w:spacing w:after="80" w:before="0"/>
      </w:pPr>
      <w:r>
        <w:rPr>
          <w:rFonts w:ascii="Calibri" w:cs="Calibri" w:eastAsia="Calibri" w:hAnsi="Calibri"/>
          <w:b w:val="false"/>
          <w:bCs w:val="false"/>
          <w:i w:val="false"/>
          <w:iCs w:val="false"/>
          <w:color w:val="525252"/>
          <w:sz w:val="19"/>
          <w:szCs w:val="19"/>
        </w:rPr>
        <w:t xml:space="preserve">Structured quarterly innovation. Governed, prioritized, business-case-backed. Not a slide — a programme.</w:t>
      </w:r>
    </w:p>
    <w:p>
      <w:pPr>
        <w:spacing w:after="40" w:before="100"/>
      </w:pPr>
      <w:r>
        <w:rPr>
          <w:rFonts w:ascii="Calibri" w:cs="Calibri" w:eastAsia="Calibri" w:hAnsi="Calibri"/>
          <w:b/>
          <w:bCs/>
          <w:i w:val="false"/>
          <w:iCs w:val="false"/>
          <w:color w:val="0F62FE"/>
          <w:sz w:val="20"/>
          <w:szCs w:val="20"/>
        </w:rPr>
        <w:t xml:space="preserve">Innovation Included</w:t>
      </w:r>
    </w:p>
    <w:p>
      <w:pPr>
        <w:spacing w:after="80" w:before="0"/>
      </w:pPr>
      <w:r>
        <w:rPr>
          <w:rFonts w:ascii="Calibri" w:cs="Calibri" w:eastAsia="Calibri" w:hAnsi="Calibri"/>
          <w:b w:val="false"/>
          <w:bCs w:val="false"/>
          <w:i w:val="false"/>
          <w:iCs w:val="false"/>
          <w:color w:val="525252"/>
          <w:sz w:val="19"/>
          <w:szCs w:val="19"/>
        </w:rPr>
        <w:t xml:space="preserve">AI tooling, sprints, accelerators built into base delivery. Not a future line item.</w:t>
      </w:r>
    </w:p>
    <w:p>
      <w:r>
        <w:rPr>
          <w:rFonts w:ascii="Calibri" w:cs="Calibri" w:eastAsia="Calibri" w:hAnsi="Calibri"/>
          <w:sz w:val="4"/>
          <w:szCs w:val="4"/>
        </w:rPr>
        <w:r>
          <w:br w:type="column"/>
        </w:r>
      </w:r>
    </w:p>
    <w:p>
      <w:pPr>
        <w:spacing w:after="60" w:before="40"/>
      </w:pPr>
      <w:r>
        <w:rPr>
          <w:rFonts w:ascii="Calibri" w:cs="Calibri" w:eastAsia="Calibri" w:hAnsi="Calibri"/>
          <w:b/>
          <w:bCs/>
          <w:i w:val="false"/>
          <w:iCs w:val="false"/>
          <w:color w:val="001141"/>
          <w:sz w:val="22"/>
          <w:szCs w:val="22"/>
        </w:rPr>
        <w:t xml:space="preserve">Healthcare Payer Pedigree</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9 of top 10 US health payers served</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AWS Partner of the Year 2025</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Leader in Enterprise Software Quality &amp; Testing</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Gartner Leader: 7 Data &amp; AI Magic Quadrants</w:t>
      </w:r>
    </w:p>
    <w:p>
      <w:pPr>
        <w:pStyle w:val="ListParagraph"/>
        <w:numPr>
          <w:ilvl w:val="0"/>
          <w:numId w:val="1"/>
        </w:numPr>
        <w:spacing w:after="50" w:before="10"/>
      </w:pPr>
      <w:r>
        <w:rPr>
          <w:rFonts w:ascii="Calibri" w:cs="Calibri" w:eastAsia="Calibri" w:hAnsi="Calibri"/>
          <w:b w:val="false"/>
          <w:bCs w:val="false"/>
          <w:i w:val="false"/>
          <w:iCs w:val="false"/>
          <w:color w:val="525252"/>
          <w:sz w:val="19"/>
          <w:szCs w:val="19"/>
        </w:rPr>
        <w:t xml:space="preserve">CMS &amp; HIPAA compliance expertise</w:t>
      </w:r>
    </w:p>
    <w:p>
      <w:pPr>
        <w:spacing w:after="80" w:before="0"/>
      </w:pPr>
      <w:r>
        <w:rPr>
          <w:rFonts w:ascii="Calibri" w:cs="Calibri" w:eastAsia="Calibri" w:hAnsi="Calibri"/>
          <w:sz w:val="8"/>
          <w:szCs w:val="8"/>
        </w:rPr>
        <w:t xml:space="preserve"/>
      </w:r>
    </w:p>
    <w:p>
      <w:pPr>
        <w:spacing w:after="60" w:before="40"/>
      </w:pPr>
      <w:r>
        <w:rPr>
          <w:rFonts w:ascii="Calibri" w:cs="Calibri" w:eastAsia="Calibri" w:hAnsi="Calibri"/>
          <w:b/>
          <w:bCs/>
          <w:i w:val="false"/>
          <w:iCs w:val="false"/>
          <w:color w:val="001141"/>
          <w:sz w:val="22"/>
          <w:szCs w:val="22"/>
        </w:rPr>
        <w:t xml:space="preserve">Next Steps</w:t>
      </w:r>
    </w:p>
    <w:p>
      <w:pPr>
        <w:spacing w:after="40" w:before="100"/>
      </w:pPr>
      <w:r>
        <w:rPr>
          <w:rFonts w:ascii="Calibri" w:cs="Calibri" w:eastAsia="Calibri" w:hAnsi="Calibri"/>
          <w:b/>
          <w:bCs/>
          <w:i w:val="false"/>
          <w:iCs w:val="false"/>
          <w:color w:val="0F62FE"/>
          <w:sz w:val="20"/>
          <w:szCs w:val="20"/>
        </w:rPr>
        <w:t xml:space="preserve">Weeks 1–2</w:t>
      </w:r>
    </w:p>
    <w:p>
      <w:pPr>
        <w:spacing w:after="80" w:before="0"/>
      </w:pPr>
      <w:r>
        <w:rPr>
          <w:rFonts w:ascii="Calibri" w:cs="Calibri" w:eastAsia="Calibri" w:hAnsi="Calibri"/>
          <w:b w:val="false"/>
          <w:bCs w:val="false"/>
          <w:i w:val="false"/>
          <w:iCs w:val="false"/>
          <w:color w:val="525252"/>
          <w:sz w:val="19"/>
          <w:szCs w:val="19"/>
        </w:rPr>
        <w:t xml:space="preserve">Executive alignment: IBM VP + Horizon CIO/COO confirm scope and governance.</w:t>
      </w:r>
    </w:p>
    <w:p>
      <w:pPr>
        <w:spacing w:after="40" w:before="100"/>
      </w:pPr>
      <w:r>
        <w:rPr>
          <w:rFonts w:ascii="Calibri" w:cs="Calibri" w:eastAsia="Calibri" w:hAnsi="Calibri"/>
          <w:b/>
          <w:bCs/>
          <w:i w:val="false"/>
          <w:iCs w:val="false"/>
          <w:color w:val="0F62FE"/>
          <w:sz w:val="20"/>
          <w:szCs w:val="20"/>
        </w:rPr>
        <w:t xml:space="preserve">Weeks 2–4</w:t>
      </w:r>
    </w:p>
    <w:p>
      <w:pPr>
        <w:spacing w:after="80" w:before="0"/>
      </w:pPr>
      <w:r>
        <w:rPr>
          <w:rFonts w:ascii="Calibri" w:cs="Calibri" w:eastAsia="Calibri" w:hAnsi="Calibri"/>
          <w:b w:val="false"/>
          <w:bCs w:val="false"/>
          <w:i w:val="false"/>
          <w:iCs w:val="false"/>
          <w:color w:val="525252"/>
          <w:sz w:val="19"/>
          <w:szCs w:val="19"/>
        </w:rPr>
        <w:t xml:space="preserve">Phase 0 SOW agreed. CareOps360 walkthrough. Innovation Council constituted.</w:t>
      </w:r>
    </w:p>
    <w:p>
      <w:pPr>
        <w:spacing w:after="40" w:before="100"/>
      </w:pPr>
      <w:r>
        <w:rPr>
          <w:rFonts w:ascii="Calibri" w:cs="Calibri" w:eastAsia="Calibri" w:hAnsi="Calibri"/>
          <w:b/>
          <w:bCs/>
          <w:i w:val="false"/>
          <w:iCs w:val="false"/>
          <w:color w:val="0F62FE"/>
          <w:sz w:val="20"/>
          <w:szCs w:val="20"/>
        </w:rPr>
        <w:t xml:space="preserve">Week 4</w:t>
      </w:r>
    </w:p>
    <w:p>
      <w:pPr>
        <w:spacing w:after="80" w:before="0"/>
      </w:pPr>
      <w:r>
        <w:rPr>
          <w:rFonts w:ascii="Calibri" w:cs="Calibri" w:eastAsia="Calibri" w:hAnsi="Calibri"/>
          <w:b w:val="false"/>
          <w:bCs w:val="false"/>
          <w:i w:val="false"/>
          <w:iCs w:val="false"/>
          <w:color w:val="525252"/>
          <w:sz w:val="19"/>
          <w:szCs w:val="19"/>
        </w:rPr>
        <w:t xml:space="preserve">Phase 0 live. IBM and Horizon operate as one integrated team.</w:t>
      </w:r>
    </w:p>
    <w:p>
      <w:pPr>
        <w:spacing w:after="40" w:before="0"/>
      </w:pPr>
      <w:r>
        <w:rPr>
          <w:rFonts w:ascii="Calibri" w:cs="Calibri" w:eastAsia="Calibri" w:hAnsi="Calibri"/>
          <w:sz w:val="8"/>
          <w:szCs w:val="8"/>
        </w:rPr>
        <w:t xml:space="preserve"/>
      </w:r>
    </w:p>
    <w:p>
      <w:pPr>
        <w:shd w:fill="EBF2FF" w:val="clear"/>
        <w:spacing w:after="100" w:before="100"/>
        <w:ind w:left="288" w:right="288"/>
      </w:pPr>
      <w:r>
        <w:rPr>
          <w:rFonts w:ascii="Calibri" w:cs="Calibri" w:eastAsia="Calibri" w:hAnsi="Calibri"/>
          <w:b/>
          <w:bCs/>
          <w:i w:val="false"/>
          <w:iCs w:val="false"/>
          <w:color w:val="001141"/>
          <w:sz w:val="20"/>
          <w:szCs w:val="20"/>
        </w:rPr>
        <w:t xml:space="preserve">IBM is ready. Phase 0 mobilizes within 5 business days.</w:t>
      </w:r>
    </w:p>
    <w:p>
      <w:pPr>
        <w:sectPr>
          <w:headerReference w:type="default" r:id="rId53"/>
          <w:footerReference w:type="default" r:id="rId54"/>
          <w:type w:val="continuous"/>
          <w:pgSz w:w="11906" w:h="16838" w:orient="portrait"/>
          <w:pgMar w:top="1152" w:right="1296" w:bottom="936" w:left="1296" w:header="708" w:footer="708" w:gutter="0"/>
          <w:pgNumType/>
          <w:cols w:space="504" w:num="2" w:sep="false"/>
          <w:docGrid w:linePitch="360"/>
        </w:sectPr>
      </w:pPr>
    </w:p>
    <w:p>
      <w:pPr>
        <w:spacing w:after="120" w:before="0"/>
      </w:pPr>
      <w:r>
        <w:rPr>
          <w:rFonts w:ascii="Calibri" w:cs="Calibri" w:eastAsia="Calibri" w:hAnsi="Calibri"/>
          <w:sz w:val="8"/>
          <w:szCs w:val="8"/>
        </w:rPr>
        <w:t xml:space="preserve"/>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tblGrid>
      <w:tr>
        <w:tc>
          <w:tcPr>
            <w:tcW w:type="dxa" w:w="2340"/>
            <w:tcBorders>
              <w:top w:val="single" w:color="0F62FE"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0F62FE"/>
                <w:sz w:val="48"/>
                <w:szCs w:val="48"/>
              </w:rPr>
              <w:t xml:space="preserve">20K+</w:t>
            </w:r>
          </w:p>
          <w:p>
            <w:pPr>
              <w:spacing w:after="120" w:before="0"/>
              <w:jc w:val="center"/>
            </w:pPr>
            <w:r>
              <w:rPr>
                <w:rFonts w:ascii="Calibri" w:cs="Calibri" w:eastAsia="Calibri" w:hAnsi="Calibri"/>
                <w:b/>
                <w:bCs/>
                <w:i w:val="false"/>
                <w:iCs w:val="false"/>
                <w:color w:val="001141"/>
                <w:sz w:val="17"/>
                <w:szCs w:val="17"/>
              </w:rPr>
              <w:t xml:space="preserve">AI Practitioners</w:t>
            </w:r>
          </w:p>
        </w:tc>
        <w:tc>
          <w:tcPr>
            <w:tcW w:type="dxa" w:w="2340"/>
            <w:tcBorders>
              <w:top w:val="single" w:color="0043CE"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0043CE"/>
                <w:sz w:val="48"/>
                <w:szCs w:val="48"/>
              </w:rPr>
              <w:t xml:space="preserve">81K+</w:t>
            </w:r>
          </w:p>
          <w:p>
            <w:pPr>
              <w:spacing w:after="120" w:before="0"/>
              <w:jc w:val="center"/>
            </w:pPr>
            <w:r>
              <w:rPr>
                <w:rFonts w:ascii="Calibri" w:cs="Calibri" w:eastAsia="Calibri" w:hAnsi="Calibri"/>
                <w:b/>
                <w:bCs/>
                <w:i w:val="false"/>
                <w:iCs w:val="false"/>
                <w:color w:val="001141"/>
                <w:sz w:val="17"/>
                <w:szCs w:val="17"/>
              </w:rPr>
              <w:t xml:space="preserve">Cloud Experts</w:t>
            </w:r>
          </w:p>
        </w:tc>
        <w:tc>
          <w:tcPr>
            <w:tcW w:type="dxa" w:w="2340"/>
            <w:tcBorders>
              <w:top w:val="single" w:color="007D79"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007D79"/>
                <w:sz w:val="48"/>
                <w:szCs w:val="48"/>
              </w:rPr>
              <w:t xml:space="preserve">40K+</w:t>
            </w:r>
          </w:p>
          <w:p>
            <w:pPr>
              <w:spacing w:after="120" w:before="0"/>
              <w:jc w:val="center"/>
            </w:pPr>
            <w:r>
              <w:rPr>
                <w:rFonts w:ascii="Calibri" w:cs="Calibri" w:eastAsia="Calibri" w:hAnsi="Calibri"/>
                <w:b/>
                <w:bCs/>
                <w:i w:val="false"/>
                <w:iCs w:val="false"/>
                <w:color w:val="001141"/>
                <w:sz w:val="17"/>
                <w:szCs w:val="17"/>
              </w:rPr>
              <w:t xml:space="preserve">AI Engagements</w:t>
            </w:r>
          </w:p>
        </w:tc>
        <w:tc>
          <w:tcPr>
            <w:tcW w:type="dxa" w:w="2340"/>
            <w:tcBorders>
              <w:top w:val="single" w:color="6929C4" w:sz="10"/>
              <w:left w:val="single" w:color="E0E0E0" w:sz="4"/>
              <w:bottom w:val="single" w:color="E0E0E0" w:sz="4"/>
              <w:right w:val="single" w:color="E0E0E0" w:sz="4"/>
            </w:tcBorders>
            <w:shd w:fill="EBF2FF" w:val="clear"/>
            <w:tcMar>
              <w:top w:type="dxa" w:w="60"/>
              <w:left w:type="dxa" w:w="80"/>
              <w:bottom w:type="dxa" w:w="60"/>
              <w:right w:type="dxa" w:w="80"/>
            </w:tcMar>
            <w:vAlign w:val="center"/>
          </w:tcPr>
          <w:p>
            <w:pPr>
              <w:spacing w:after="40" w:before="120"/>
              <w:jc w:val="center"/>
            </w:pPr>
            <w:r>
              <w:rPr>
                <w:rFonts w:ascii="Calibri" w:cs="Calibri" w:eastAsia="Calibri" w:hAnsi="Calibri"/>
                <w:b/>
                <w:bCs/>
                <w:i w:val="false"/>
                <w:iCs w:val="false"/>
                <w:color w:val="6929C4"/>
                <w:sz w:val="48"/>
                <w:szCs w:val="48"/>
              </w:rPr>
              <w:t xml:space="preserve">$3.4B</w:t>
            </w:r>
          </w:p>
          <w:p>
            <w:pPr>
              <w:spacing w:after="120" w:before="0"/>
              <w:jc w:val="center"/>
            </w:pPr>
            <w:r>
              <w:rPr>
                <w:rFonts w:ascii="Calibri" w:cs="Calibri" w:eastAsia="Calibri" w:hAnsi="Calibri"/>
                <w:b/>
                <w:bCs/>
                <w:i w:val="false"/>
                <w:iCs w:val="false"/>
                <w:color w:val="001141"/>
                <w:sz w:val="17"/>
                <w:szCs w:val="17"/>
              </w:rPr>
              <w:t xml:space="preserve">IBM Client-0 Savings</w:t>
            </w:r>
          </w:p>
        </w:tc>
      </w:tr>
    </w:tbl>
    <w:p>
      <w:pPr>
        <w:spacing w:after="200" w:before="0"/>
      </w:pPr>
      <w:r>
        <w:rPr>
          <w:rFonts w:ascii="Calibri" w:cs="Calibri" w:eastAsia="Calibri" w:hAnsi="Calibri"/>
          <w:sz w:val="8"/>
          <w:szCs w:val="8"/>
        </w:rPr>
        <w:t xml:space="preserve"/>
      </w:r>
    </w:p>
    <w:p>
      <w:pPr>
        <w:pBdr>
          <w:bottom w:val="single" w:color="0F62FE" w:sz="6"/>
        </w:pBdr>
        <w:spacing w:after="120" w:before="80"/>
      </w:pPr>
    </w:p>
    <w:p>
      <w:pPr>
        <w:spacing w:after="120" w:before="60"/>
      </w:pPr>
      <w:r>
        <w:rPr>
          <w:rFonts w:ascii="Calibri" w:cs="Calibri" w:eastAsia="Calibri" w:hAnsi="Calibri"/>
          <w:b w:val="false"/>
          <w:bCs w:val="false"/>
          <w:i/>
          <w:iCs/>
          <w:color w:val="525252"/>
          <w:sz w:val="22"/>
          <w:szCs w:val="22"/>
        </w:rPr>
        <w:t xml:space="preserve">“The measure of a great payer isn’t uptime. It is the member who never has to think about their insurance because </w:t>
      </w:r>
      <w:r>
        <w:rPr>
          <w:rFonts w:ascii="Calibri" w:cs="Calibri" w:eastAsia="Calibri" w:hAnsi="Calibri"/>
          <w:b/>
          <w:bCs/>
          <w:i/>
          <w:iCs/>
          <w:color w:val="001141"/>
          <w:sz w:val="22"/>
          <w:szCs w:val="22"/>
        </w:rPr>
        <w:t xml:space="preserve">everything just works.</w:t>
      </w:r>
      <w:r>
        <w:rPr>
          <w:rFonts w:ascii="Calibri" w:cs="Calibri" w:eastAsia="Calibri" w:hAnsi="Calibri"/>
          <w:b w:val="false"/>
          <w:bCs w:val="false"/>
          <w:i/>
          <w:iCs/>
          <w:color w:val="525252"/>
          <w:sz w:val="22"/>
          <w:szCs w:val="22"/>
        </w:rPr>
        <w:t xml:space="preserve">”</w:t>
      </w:r>
    </w:p>
    <w:p>
      <w:pPr>
        <w:spacing w:after="40" w:before="80"/>
        <w:jc w:val="center"/>
      </w:pPr>
      <w:r>
        <w:rPr>
          <w:rFonts w:ascii="Calibri" w:cs="Calibri" w:eastAsia="Calibri" w:hAnsi="Calibri"/>
          <w:b/>
          <w:bCs/>
          <w:i w:val="false"/>
          <w:iCs w:val="false"/>
          <w:color w:val="001141"/>
          <w:sz w:val="22"/>
          <w:szCs w:val="22"/>
        </w:rPr>
        <w:t xml:space="preserve">A Strategic Partnership for Enterprise Transformation</w:t>
      </w:r>
    </w:p>
    <w:p>
      <w:pPr>
        <w:spacing w:after="120" w:before="0"/>
        <w:jc w:val="center"/>
      </w:pPr>
      <w:r>
        <w:rPr>
          <w:rFonts w:ascii="Calibri" w:cs="Calibri" w:eastAsia="Calibri" w:hAnsi="Calibri"/>
          <w:b w:val="false"/>
          <w:bCs w:val="false"/>
          <w:i/>
          <w:iCs/>
          <w:color w:val="525252"/>
          <w:sz w:val="19"/>
          <w:szCs w:val="19"/>
        </w:rPr>
        <w:t xml:space="preserve">IBM is committed to Horizon’s success — not as a vendor, but as a transformation partner with shared stakes in every outcome.</w:t>
      </w:r>
    </w:p>
    <w:p>
      <w:pPr>
        <w:pBdr>
          <w:top w:val="single" w:color="E0E0E0" w:sz="2"/>
        </w:pBdr>
        <w:spacing w:after="60" w:before="80"/>
      </w:pPr>
    </w:p>
    <w:p>
      <w:pPr>
        <w:spacing w:after="0" w:before="0"/>
        <w:jc w:val="center"/>
      </w:pPr>
      <w:r>
        <w:rPr>
          <w:rFonts w:ascii="Calibri" w:cs="Calibri" w:eastAsia="Calibri" w:hAnsi="Calibri"/>
          <w:b w:val="false"/>
          <w:bCs w:val="false"/>
          <w:i w:val="false"/>
          <w:iCs w:val="false"/>
          <w:color w:val="8D8D8D"/>
          <w:sz w:val="15"/>
          <w:szCs w:val="15"/>
        </w:rPr>
        <w:t xml:space="preserve">© 2026 IBM Corporation  ·  IBM-HZN-AMS-RFP-2026-CAS  ·  Confidential  ·  All figures based on IBM programme data and industry benchmarks.</w:t>
      </w:r>
    </w:p>
    <w:sectPr>
      <w:headerReference w:type="default" r:id="rId55"/>
      <w:footerReference w:type="default" r:id="rId56"/>
      <w:type w:val="continuous"/>
      <w:pgSz w:w="11906" w:h="16838" w:orient="portrait"/>
      <w:pgMar w:top="1152" w:right="1296" w:bottom="936" w:left="1296" w:header="708" w:footer="708" w:gutter="0"/>
      <w:pgNumType/>
      <w:cols w:num="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5"/>
      </w:pBdr>
      <w:spacing w:after="0"/>
      <w:jc w:val="right"/>
    </w:pPr>
    <w:r>
      <w:rPr>
        <w:rFonts w:ascii="Calibri" w:cs="Calibri" w:eastAsia="Calibri" w:hAnsi="Calibri"/>
        <w:b/>
        <w:bCs/>
        <w:i w:val="false"/>
        <w:iCs w:val="false"/>
        <w:color w:val="8D8D8D"/>
        <w:sz w:val="14"/>
        <w:szCs w:val="14"/>
      </w:rPr>
      <w:t xml:space="preserve">IBM × HORIZON BCBS  |  APP DEV, MAINTENANCE &amp; QUALITY ENGINEERING  |  CONFIDENTIAL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5"/>
      </w:pBdr>
      <w:spacing w:after="0"/>
      <w:jc w:val="right"/>
    </w:pPr>
    <w:r>
      <w:rPr>
        <w:rFonts w:ascii="Calibri" w:cs="Calibri" w:eastAsia="Calibri" w:hAnsi="Calibri"/>
        <w:b/>
        <w:bCs/>
        <w:i w:val="false"/>
        <w:iCs w:val="false"/>
        <w:color w:val="8D8D8D"/>
        <w:sz w:val="14"/>
        <w:szCs w:val="14"/>
      </w:rPr>
      <w:t xml:space="preserve">IBM × HORIZON BCBS  |  APP DEV, MAINTENANCE &amp; QUALITY ENGINEERING  |  CONFIDENTIAL</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5"/>
      </w:pBdr>
      <w:spacing w:after="0"/>
      <w:jc w:val="right"/>
    </w:pPr>
    <w:r>
      <w:rPr>
        <w:rFonts w:ascii="Calibri" w:cs="Calibri" w:eastAsia="Calibri" w:hAnsi="Calibri"/>
        <w:b/>
        <w:bCs/>
        <w:i w:val="false"/>
        <w:iCs w:val="false"/>
        <w:color w:val="8D8D8D"/>
        <w:sz w:val="14"/>
        <w:szCs w:val="14"/>
      </w:rPr>
      <w:t xml:space="preserve">IBM × HORIZON BCBS  |  APP DEV, MAINTENANCE &amp; QUALITY ENGINEERING  |  CONFIDENTIAL</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5"/>
      </w:pBdr>
      <w:spacing w:after="0"/>
      <w:jc w:val="right"/>
    </w:pPr>
    <w:r>
      <w:rPr>
        <w:rFonts w:ascii="Calibri" w:cs="Calibri" w:eastAsia="Calibri" w:hAnsi="Calibri"/>
        <w:b/>
        <w:bCs/>
        <w:i w:val="false"/>
        <w:iCs w:val="false"/>
        <w:color w:val="8D8D8D"/>
        <w:sz w:val="14"/>
        <w:szCs w:val="14"/>
      </w:rPr>
      <w:t xml:space="preserve">IBM × HORIZON BCBS  |  APP DEV, MAINTENANCE &amp; QUALITY ENGINEERING  |  CONFIDENTIAL</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5"/>
      </w:pBdr>
      <w:spacing w:after="0"/>
      <w:jc w:val="right"/>
    </w:pPr>
    <w:r>
      <w:rPr>
        <w:rFonts w:ascii="Calibri" w:cs="Calibri" w:eastAsia="Calibri" w:hAnsi="Calibri"/>
        <w:b/>
        <w:bCs/>
        <w:i w:val="false"/>
        <w:iCs w:val="false"/>
        <w:color w:val="8D8D8D"/>
        <w:sz w:val="14"/>
        <w:szCs w:val="14"/>
      </w:rPr>
      <w:t xml:space="preserve">IBM × HORIZON BCBS  |  APP DEV, MAINTENANCE &amp; QUALITY ENGINEERING  |  CONFIDENTIAL</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5"/>
      </w:pBdr>
      <w:spacing w:after="0"/>
      <w:jc w:val="right"/>
    </w:pPr>
    <w:r>
      <w:rPr>
        <w:rFonts w:ascii="Calibri" w:cs="Calibri" w:eastAsia="Calibri" w:hAnsi="Calibri"/>
        <w:b/>
        <w:bCs/>
        <w:i w:val="false"/>
        <w:iCs w:val="false"/>
        <w:color w:val="8D8D8D"/>
        <w:sz w:val="14"/>
        <w:szCs w:val="14"/>
      </w:rPr>
      <w:t xml:space="preserve">IBM × HORIZON BCBS  |  APP DEV, MAINTENANCE &amp; QUALITY ENGINEERING  |  CONFIDENTIAL</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5"/>
      </w:pBdr>
      <w:spacing w:after="0"/>
      <w:jc w:val="right"/>
    </w:pPr>
    <w:r>
      <w:rPr>
        <w:rFonts w:ascii="Calibri" w:cs="Calibri" w:eastAsia="Calibri" w:hAnsi="Calibri"/>
        <w:b/>
        <w:bCs/>
        <w:i w:val="false"/>
        <w:iCs w:val="false"/>
        <w:color w:val="8D8D8D"/>
        <w:sz w:val="14"/>
        <w:szCs w:val="14"/>
      </w:rPr>
      <w:t xml:space="preserve">IBM × HORIZON BCBS  |  APP DEV, MAINTENANCE &amp; QUALITY ENGINEERING  |  CONFIDENTIAL</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5"/>
      </w:pBdr>
      <w:spacing w:after="0"/>
      <w:jc w:val="right"/>
    </w:pPr>
    <w:r>
      <w:rPr>
        <w:rFonts w:ascii="Calibri" w:cs="Calibri" w:eastAsia="Calibri" w:hAnsi="Calibri"/>
        <w:b/>
        <w:bCs/>
        <w:i w:val="false"/>
        <w:iCs w:val="false"/>
        <w:color w:val="8D8D8D"/>
        <w:sz w:val="14"/>
        <w:szCs w:val="14"/>
      </w:rPr>
      <w:t xml:space="preserve">IBM × HORIZON BCBS  |  APP DEV, MAINTENANCE &amp; QUALITY ENGINEERING  |  CONFIDENTIAL</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5"/>
      </w:pBdr>
      <w:spacing w:after="0"/>
      <w:jc w:val="right"/>
    </w:pPr>
    <w:r>
      <w:rPr>
        <w:rFonts w:ascii="Calibri" w:cs="Calibri" w:eastAsia="Calibri" w:hAnsi="Calibri"/>
        <w:b/>
        <w:bCs/>
        <w:i w:val="false"/>
        <w:iCs w:val="false"/>
        <w:color w:val="8D8D8D"/>
        <w:sz w:val="14"/>
        <w:szCs w:val="14"/>
      </w:rPr>
      <w:t xml:space="preserve">IBM × HORIZON BCBS  |  APP DEV, MAINTENANCE &amp; QUALITY ENGINEERING  |  CONFIDENTIAL</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5"/>
      </w:pBdr>
      <w:spacing w:after="0"/>
      <w:jc w:val="right"/>
    </w:pPr>
    <w:r>
      <w:rPr>
        <w:rFonts w:ascii="Calibri" w:cs="Calibri" w:eastAsia="Calibri" w:hAnsi="Calibri"/>
        <w:b/>
        <w:bCs/>
        <w:i w:val="false"/>
        <w:iCs w:val="false"/>
        <w:color w:val="8D8D8D"/>
        <w:sz w:val="14"/>
        <w:szCs w:val="14"/>
      </w:rPr>
      <w:t xml:space="preserve">IBM × HORIZON BCBS  |  APP DEV, MAINTENANCE &amp; QUALITY ENGINEERING  |  CONFIDENTIAL</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5"/>
      </w:pBdr>
      <w:spacing w:after="0"/>
      <w:jc w:val="right"/>
    </w:pPr>
    <w:r>
      <w:rPr>
        <w:rFonts w:ascii="Calibri" w:cs="Calibri" w:eastAsia="Calibri" w:hAnsi="Calibri"/>
        <w:b/>
        <w:bCs/>
        <w:i w:val="false"/>
        <w:iCs w:val="false"/>
        <w:color w:val="8D8D8D"/>
        <w:sz w:val="14"/>
        <w:szCs w:val="14"/>
      </w:rPr>
      <w:t xml:space="preserve">IBM × HORIZON BCBS  |  APP DEV, MAINTENANCE &amp; QUALITY ENGINEERING  |  CONFIDENTIAL</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5"/>
      </w:pBdr>
      <w:spacing w:after="0"/>
      <w:jc w:val="right"/>
    </w:pPr>
    <w:r>
      <w:rPr>
        <w:rFonts w:ascii="Calibri" w:cs="Calibri" w:eastAsia="Calibri" w:hAnsi="Calibri"/>
        <w:b/>
        <w:bCs/>
        <w:i w:val="false"/>
        <w:iCs w:val="false"/>
        <w:color w:val="8D8D8D"/>
        <w:sz w:val="14"/>
        <w:szCs w:val="14"/>
      </w:rPr>
      <w:t xml:space="preserve">IBM × HORIZON BCBS  |  APP DEV, MAINTENANCE &amp; QUALITY ENGINEERING  |  CONFIDENTIAL</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5"/>
      </w:pBdr>
      <w:spacing w:after="0"/>
      <w:jc w:val="right"/>
    </w:pPr>
    <w:r>
      <w:rPr>
        <w:rFonts w:ascii="Calibri" w:cs="Calibri" w:eastAsia="Calibri" w:hAnsi="Calibri"/>
        <w:b/>
        <w:bCs/>
        <w:i w:val="false"/>
        <w:iCs w:val="false"/>
        <w:color w:val="8D8D8D"/>
        <w:sz w:val="14"/>
        <w:szCs w:val="14"/>
      </w:rPr>
      <w:t xml:space="preserve">IBM × HORIZON BCBS  |  APP DEV, MAINTENANCE &amp; QUALITY ENGINEERING  |  CONFIDENTIAL</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5"/>
      </w:pBdr>
      <w:spacing w:after="0"/>
      <w:jc w:val="right"/>
    </w:pPr>
    <w:r>
      <w:rPr>
        <w:rFonts w:ascii="Calibri" w:cs="Calibri" w:eastAsia="Calibri" w:hAnsi="Calibri"/>
        <w:b/>
        <w:bCs/>
        <w:i w:val="false"/>
        <w:iCs w:val="false"/>
        <w:color w:val="8D8D8D"/>
        <w:sz w:val="14"/>
        <w:szCs w:val="14"/>
      </w:rPr>
      <w:t xml:space="preserve">IBM × HORIZON BCBS  |  APP DEV, MAINTENANCE &amp; QUALITY ENGINEERING  |  CONFIDENTIAL</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5"/>
      </w:pBdr>
      <w:spacing w:after="0"/>
      <w:jc w:val="right"/>
    </w:pPr>
    <w:r>
      <w:rPr>
        <w:rFonts w:ascii="Calibri" w:cs="Calibri" w:eastAsia="Calibri" w:hAnsi="Calibri"/>
        <w:b/>
        <w:bCs/>
        <w:i w:val="false"/>
        <w:iCs w:val="false"/>
        <w:color w:val="8D8D8D"/>
        <w:sz w:val="14"/>
        <w:szCs w:val="14"/>
      </w:rPr>
      <w:t xml:space="preserve">IBM × HORIZON BCBS  |  APP DEV, MAINTENANCE &amp; QUALITY ENGINEERING  |  CONFIDENTIAL</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5"/>
      </w:pBdr>
      <w:spacing w:after="0"/>
      <w:jc w:val="right"/>
    </w:pPr>
    <w:r>
      <w:rPr>
        <w:rFonts w:ascii="Calibri" w:cs="Calibri" w:eastAsia="Calibri" w:hAnsi="Calibri"/>
        <w:b/>
        <w:bCs/>
        <w:i w:val="false"/>
        <w:iCs w:val="false"/>
        <w:color w:val="8D8D8D"/>
        <w:sz w:val="14"/>
        <w:szCs w:val="14"/>
      </w:rPr>
      <w:t xml:space="preserve">IBM × HORIZON BCBS  |  APP DEV, MAINTENANCE &amp; QUALITY ENGINEERING  |  CONFIDENTIAL</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5"/>
      </w:pBdr>
      <w:spacing w:after="0"/>
      <w:jc w:val="right"/>
    </w:pPr>
    <w:r>
      <w:rPr>
        <w:rFonts w:ascii="Calibri" w:cs="Calibri" w:eastAsia="Calibri" w:hAnsi="Calibri"/>
        <w:b/>
        <w:bCs/>
        <w:i w:val="false"/>
        <w:iCs w:val="false"/>
        <w:color w:val="8D8D8D"/>
        <w:sz w:val="14"/>
        <w:szCs w:val="14"/>
      </w:rPr>
      <w:t xml:space="preserve">IBM × HORIZON BCBS  |  APP DEV, MAINTENANCE &amp; QUALITY ENGINEERING  |  CONFIDENTIAL</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5"/>
      </w:pBdr>
      <w:spacing w:after="0"/>
      <w:jc w:val="right"/>
    </w:pPr>
    <w:r>
      <w:rPr>
        <w:rFonts w:ascii="Calibri" w:cs="Calibri" w:eastAsia="Calibri" w:hAnsi="Calibri"/>
        <w:b/>
        <w:bCs/>
        <w:i w:val="false"/>
        <w:iCs w:val="false"/>
        <w:color w:val="8D8D8D"/>
        <w:sz w:val="14"/>
        <w:szCs w:val="14"/>
      </w:rPr>
      <w:t xml:space="preserve">IBM × HORIZON BCBS  |  APP DEV, MAINTENANCE &amp; QUALITY ENGINEERING  |  CONFIDENTIAL</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5"/>
      </w:pBdr>
      <w:spacing w:after="0"/>
      <w:jc w:val="right"/>
    </w:pPr>
    <w:r>
      <w:rPr>
        <w:rFonts w:ascii="Calibri" w:cs="Calibri" w:eastAsia="Calibri" w:hAnsi="Calibri"/>
        <w:b/>
        <w:bCs/>
        <w:i w:val="false"/>
        <w:iCs w:val="false"/>
        <w:color w:val="8D8D8D"/>
        <w:sz w:val="14"/>
        <w:szCs w:val="14"/>
      </w:rPr>
      <w:t xml:space="preserve">IBM × HORIZON BCBS  |  APP DEV, MAINTENANCE &amp; QUALITY ENGINEERING  |  CONFIDENTIAL</w:t>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5"/>
      </w:pBdr>
      <w:spacing w:after="0"/>
      <w:jc w:val="right"/>
    </w:pPr>
    <w:r>
      <w:rPr>
        <w:rFonts w:ascii="Calibri" w:cs="Calibri" w:eastAsia="Calibri" w:hAnsi="Calibri"/>
        <w:b/>
        <w:bCs/>
        <w:i w:val="false"/>
        <w:iCs w:val="false"/>
        <w:color w:val="8D8D8D"/>
        <w:sz w:val="14"/>
        <w:szCs w:val="14"/>
      </w:rPr>
      <w:t xml:space="preserve">IBM × HORIZON BCBS  |  APP DEV, MAINTENANCE &amp; QUALITY ENGINEERING  |  CONFIDENTIAL</w:t>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5"/>
      </w:pBdr>
      <w:spacing w:after="0"/>
      <w:jc w:val="right"/>
    </w:pPr>
    <w:r>
      <w:rPr>
        <w:rFonts w:ascii="Calibri" w:cs="Calibri" w:eastAsia="Calibri" w:hAnsi="Calibri"/>
        <w:b/>
        <w:bCs/>
        <w:i w:val="false"/>
        <w:iCs w:val="false"/>
        <w:color w:val="8D8D8D"/>
        <w:sz w:val="14"/>
        <w:szCs w:val="14"/>
      </w:rPr>
      <w:t xml:space="preserve">IBM × HORIZON BCBS  |  APP DEV, MAINTENANCE &amp; QUALITY ENGINEERING  |  CONFIDENTIAL</w:t>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5"/>
      </w:pBdr>
      <w:spacing w:after="0"/>
      <w:jc w:val="right"/>
    </w:pPr>
    <w:r>
      <w:rPr>
        <w:rFonts w:ascii="Calibri" w:cs="Calibri" w:eastAsia="Calibri" w:hAnsi="Calibri"/>
        <w:b/>
        <w:bCs/>
        <w:i w:val="false"/>
        <w:iCs w:val="false"/>
        <w:color w:val="8D8D8D"/>
        <w:sz w:val="14"/>
        <w:szCs w:val="14"/>
      </w:rPr>
      <w:t xml:space="preserve">IBM × HORIZON BCBS  |  APP DEV, MAINTENANCE &amp; QUALITY ENGINEERING  |  CONFIDENTIAL</w:t>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5"/>
      </w:pBdr>
      <w:spacing w:after="0"/>
      <w:jc w:val="right"/>
    </w:pPr>
    <w:r>
      <w:rPr>
        <w:rFonts w:ascii="Calibri" w:cs="Calibri" w:eastAsia="Calibri" w:hAnsi="Calibri"/>
        <w:b/>
        <w:bCs/>
        <w:i w:val="false"/>
        <w:iCs w:val="false"/>
        <w:color w:val="8D8D8D"/>
        <w:sz w:val="14"/>
        <w:szCs w:val="14"/>
      </w:rPr>
      <w:t xml:space="preserve">IBM × HORIZON BCBS  |  APP DEV, MAINTENANCE &amp; QUALITY ENGINEERING  |  CONFIDENTIAL</w:t>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5"/>
      </w:pBdr>
      <w:spacing w:after="0"/>
      <w:jc w:val="right"/>
    </w:pPr>
    <w:r>
      <w:rPr>
        <w:rFonts w:ascii="Calibri" w:cs="Calibri" w:eastAsia="Calibri" w:hAnsi="Calibri"/>
        <w:b/>
        <w:bCs/>
        <w:i w:val="false"/>
        <w:iCs w:val="false"/>
        <w:color w:val="8D8D8D"/>
        <w:sz w:val="14"/>
        <w:szCs w:val="14"/>
      </w:rPr>
      <w:t xml:space="preserve">IBM × HORIZON BCBS  |  APP DEV, MAINTENANCE &amp; QUALITY ENGINEERING  |  CONFIDENTIAL</w:t>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5"/>
      </w:pBdr>
      <w:spacing w:after="0"/>
      <w:jc w:val="right"/>
    </w:pPr>
    <w:r>
      <w:rPr>
        <w:rFonts w:ascii="Calibri" w:cs="Calibri" w:eastAsia="Calibri" w:hAnsi="Calibri"/>
        <w:b/>
        <w:bCs/>
        <w:i w:val="false"/>
        <w:iCs w:val="false"/>
        <w:color w:val="8D8D8D"/>
        <w:sz w:val="14"/>
        <w:szCs w:val="14"/>
      </w:rPr>
      <w:t xml:space="preserve">IBM × HORIZON BCBS  |  APP DEV, MAINTENANCE &amp; QUALITY ENGINEERING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footer" Target="footer16.xml"/><Relationship Id="rId39" Type="http://schemas.openxmlformats.org/officeDocument/2006/relationships/header" Target="header17.xml"/><Relationship Id="rId40" Type="http://schemas.openxmlformats.org/officeDocument/2006/relationships/footer" Target="footer17.xml"/><Relationship Id="rId41" Type="http://schemas.openxmlformats.org/officeDocument/2006/relationships/header" Target="header18.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footer" Target="footer19.xml"/><Relationship Id="rId45" Type="http://schemas.openxmlformats.org/officeDocument/2006/relationships/header" Target="header20.xml"/><Relationship Id="rId46" Type="http://schemas.openxmlformats.org/officeDocument/2006/relationships/footer" Target="footer20.xml"/><Relationship Id="rId47" Type="http://schemas.openxmlformats.org/officeDocument/2006/relationships/header" Target="header21.xml"/><Relationship Id="rId48" Type="http://schemas.openxmlformats.org/officeDocument/2006/relationships/footer" Target="footer21.xml"/><Relationship Id="rId49" Type="http://schemas.openxmlformats.org/officeDocument/2006/relationships/header" Target="header22.xml"/><Relationship Id="rId50" Type="http://schemas.openxmlformats.org/officeDocument/2006/relationships/footer" Target="footer22.xml"/><Relationship Id="rId51" Type="http://schemas.openxmlformats.org/officeDocument/2006/relationships/header" Target="header23.xml"/><Relationship Id="rId52" Type="http://schemas.openxmlformats.org/officeDocument/2006/relationships/footer" Target="footer23.xml"/><Relationship Id="rId53" Type="http://schemas.openxmlformats.org/officeDocument/2006/relationships/header" Target="header24.xml"/><Relationship Id="rId54" Type="http://schemas.openxmlformats.org/officeDocument/2006/relationships/footer" Target="footer24.xml"/><Relationship Id="rId55" Type="http://schemas.openxmlformats.org/officeDocument/2006/relationships/header" Target="header25.xml"/><Relationship Id="rId56" Type="http://schemas.openxmlformats.org/officeDocument/2006/relationships/footer" Target="footer25.xml"/><Relationship Id="rId5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
</file>

<file path=word/_rels/header19.xml.rels><?xml version="1.0" encoding="UTF-8"?><Relationships xmlns="http://schemas.openxmlformats.org/package/2006/relationships"/>
</file>

<file path=word/_rels/header20.xml.rels><?xml version="1.0" encoding="UTF-8"?><Relationships xmlns="http://schemas.openxmlformats.org/package/2006/relationships"/>
</file>

<file path=word/_rels/header21.xml.rels><?xml version="1.0" encoding="UTF-8"?><Relationships xmlns="http://schemas.openxmlformats.org/package/2006/relationships"/>
</file>

<file path=word/_rels/header22.xml.rels><?xml version="1.0" encoding="UTF-8"?><Relationships xmlns="http://schemas.openxmlformats.org/package/2006/relationships"/>
</file>

<file path=word/_rels/header23.xml.rels><?xml version="1.0" encoding="UTF-8"?><Relationships xmlns="http://schemas.openxmlformats.org/package/2006/relationships"/>
</file>

<file path=word/_rels/header24.xml.rels><?xml version="1.0" encoding="UTF-8"?><Relationships xmlns="http://schemas.openxmlformats.org/package/2006/relationships"/>
</file>

<file path=word/_rels/header25.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IBM × Horizon BCBS — App Dev, Maintenance &amp; Quality Engineering</dc:title>
  <dc:creator>IBM Consulting</dc:creator>
  <cp:lastModifiedBy>Un-named</cp:lastModifiedBy>
  <cp:revision>1</cp:revision>
  <dcterms:created xsi:type="dcterms:W3CDTF">2026-04-16T05:54:14.992Z</dcterms:created>
  <dcterms:modified xsi:type="dcterms:W3CDTF">2026-04-16T05:54:14.993Z</dcterms:modified>
</cp:coreProperties>
</file>

<file path=docProps/custom.xml><?xml version="1.0" encoding="utf-8"?>
<Properties xmlns="http://schemas.openxmlformats.org/officeDocument/2006/custom-properties" xmlns:vt="http://schemas.openxmlformats.org/officeDocument/2006/docPropsVTypes"/>
</file>