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1141" w:val="clear"/>
        <w:spacing w:after="280" w:befor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17"/>
          <w:szCs w:val="17"/>
        </w:rPr>
        <w:t xml:space="preserve">IBM CONSULTING   |   HEALTHCARE &amp; PAYER DELIVERY</w:t>
      </w:r>
    </w:p>
    <w:p>
      <w:pPr>
        <w:shd w:fill="0F62FE" w:val="clear"/>
        <w:spacing w:after="40" w:before="0"/>
      </w:pPr>
    </w:p>
    <w:p>
      <w:pPr>
        <w:spacing w:after="520" w:before="0"/>
      </w:pPr>
      <w:r>
        <w:t xml:space="preserve"/>
      </w:r>
    </w:p>
    <w:p>
      <w:pPr>
        <w:spacing w:after="12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CONFIDENTIAL  |  APRIL 2026</w:t>
      </w:r>
    </w:p>
    <w:p>
      <w:pPr>
        <w:spacing w:after="8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IBM × HORIZON BLUE CROSS BLUE SHIELD OF NEW JERSEY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64"/>
          <w:szCs w:val="64"/>
        </w:rPr>
        <w:t xml:space="preserve">Application Delivery,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64"/>
          <w:szCs w:val="64"/>
        </w:rPr>
        <w:t xml:space="preserve">Quality Engineering &amp;</w:t>
      </w:r>
    </w:p>
    <w:p>
      <w:pPr>
        <w:spacing w:after="8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64"/>
          <w:szCs w:val="64"/>
        </w:rPr>
        <w:t xml:space="preserve">Operations Transformation</w:t>
      </w:r>
    </w:p>
    <w:p>
      <w:pPr>
        <w:spacing w:after="360" w:before="0"/>
        <w:ind w:left="1584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4"/>
          <w:szCs w:val="24"/>
        </w:rPr>
        <w:t xml:space="preserve">AI-First  ·  Business-Led  ·  Zero-Touch  ·  Member-Centred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40–50%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Cost Takeout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vs. current operational run-rate</w:t>
            </w:r>
          </w:p>
        </w:tc>
        <w:tc>
          <w:tcPr>
            <w:tcW w:type="dxa" w:w="234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25–40%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Faster Time to Market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across development &amp; change</w:t>
            </w:r>
          </w:p>
        </w:tc>
        <w:tc>
          <w:tcPr>
            <w:tcW w:type="dxa" w:w="234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&gt;74%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Incidents Auto-Resolved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P3/P4 zero-touch target</w:t>
            </w:r>
          </w:p>
        </w:tc>
        <w:tc>
          <w:tcPr>
            <w:tcW w:type="dxa" w:w="234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80%+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Test Automation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from ~25% today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60" w:before="80"/>
        <w:ind w:left="1584" w:right="1584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1"/>
          <w:szCs w:val="21"/>
        </w:rPr>
        <w:t xml:space="preserve">“A member who can’t access their benefits, a provider waiting days for authorisation, a payer carrying the cost of an avoidable error — these are the problems IBM is here to solve. Technology is the means. Human outcomes are the only measure.”</w:t>
      </w:r>
    </w:p>
    <w:p>
      <w:pPr>
        <w:spacing w:after="28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Consulting, Healthcare &amp; Payer Delivery</w:t>
      </w:r>
    </w:p>
    <w:p>
      <w:pPr>
        <w:pBdr>
          <w:top w:val="single" w:color="E0E0E0" w:sz="4"/>
        </w:pBdr>
        <w:spacing w:after="0" w:before="80"/>
        <w:ind w:left="1584" w:right="1584"/>
      </w:pPr>
    </w:p>
    <w:p>
      <w:pPr>
        <w:spacing w:after="100" w:before="10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17"/>
          <w:szCs w:val="17"/>
        </w:rPr>
        <w:t xml:space="preserve">Prepared for: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Horizon Healthcare Services   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17"/>
          <w:szCs w:val="17"/>
        </w:rPr>
        <w:t xml:space="preserve">Submitted by: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IBM Consulting — Healthcare &amp; Payer  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April 2026</w:t>
      </w:r>
    </w:p>
    <w:p>
      <w:pPr>
        <w:shd w:fill="001141" w:val="clear"/>
        <w:spacing w:after="100" w:before="1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15"/>
          <w:szCs w:val="15"/>
        </w:rPr>
        <w:t xml:space="preserve">© 2026 IBM Corporation. All rights reserved.  Powered by CareOps360 · IBM AIOps · IBM Consulting Advantage</w:t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Bdr>
          <w:top w:val="single" w:color="0F62FE" w:sz="12" w:space="6"/>
        </w:pBdr>
        <w:spacing w:after="20" w:before="12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1.0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THE STRATEGIC OPPORTUNITY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Why bold action is needed</w:t>
      </w:r>
    </w:p>
    <w:p>
      <w:pPr>
        <w:spacing w:after="40" w:before="40"/>
        <w:ind w:left="200" w:right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1"/>
          <w:szCs w:val="21"/>
        </w:rPr>
        <w:t xml:space="preserve">“A member delayed. A provider burdened. A payer absorbing preventable cost. IBM is here to solve these as one integrated partnership — not as a technology project.”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 — Healthcare &amp; Payer Delivery</w:t>
      </w:r>
    </w:p>
    <w:p>
      <w:pPr>
        <w:pBdr>
          <w:bottom w:val="single" w:color="D0E2FF" w:sz="4"/>
        </w:pBdr>
        <w:spacing w:after="100" w:before="0"/>
        <w:ind w:left="720" w:right="72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Where Horizon Stands Today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Horizon’s 500+ applications are managed across siloed delivery teams. Speed, quality, and member experience all pay the price.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Claims cycle times constrained by manual processes and late-stage defects reaching production.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Provider authorisations delayed because integrations are batch-based, not real-time.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Member enrolment errors surface days after submission — long after trust is damaged.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Test automation at ~25% means most quality assurance is slow, manual, and costly.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Operations teams firefight recurring incidents instead of building capability.</w:t>
      </w:r>
    </w:p>
    <w:p>
      <w:pPr>
        <w:spacing w:after="80" w:before="0"/>
      </w:pPr>
      <w:r>
        <w:t xml:space="preserve"/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722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Business Challenge</w:t>
            </w:r>
          </w:p>
        </w:tc>
        <w:tc>
          <w:tcPr>
            <w:tcW w:type="dxa" w:w="1598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Impact on Stakeholders</w:t>
            </w:r>
          </w:p>
        </w:tc>
      </w:tr>
      <w:tr>
        <w:tc>
          <w:tcPr>
            <w:tcW w:type="dxa" w:w="272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Slow claims processing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Members wait; trust erodes</w:t>
            </w:r>
          </w:p>
        </w:tc>
      </w:tr>
      <w:tr>
        <w:tc>
          <w:tcPr>
            <w:tcW w:type="dxa" w:w="272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Manual prior auth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Providers lose care time</w:t>
            </w:r>
          </w:p>
        </w:tc>
      </w:tr>
      <w:tr>
        <w:tc>
          <w:tcPr>
            <w:tcW w:type="dxa" w:w="272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Low test automation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Defects reach production</w:t>
            </w:r>
          </w:p>
        </w:tc>
      </w:tr>
      <w:tr>
        <w:tc>
          <w:tcPr>
            <w:tcW w:type="dxa" w:w="272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Reactive operations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Unpredictable availability</w:t>
            </w:r>
          </w:p>
        </w:tc>
      </w:tr>
      <w:tr>
        <w:tc>
          <w:tcPr>
            <w:tcW w:type="dxa" w:w="272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Growing technology debt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Rising cost &amp; compliance risk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The IBM Response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proposes a unified partnership spanning Application Development, Quality Engineering, and Operations — with AI as the operating engine so Horizon’s teams focus on outcomes, not overhead.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AI-assisted engineering and risk-scored release pipelines accelerate delivery by 25–40%.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Quality built into every stage — from commit to production — so defects are caught before members feel them.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Operations that self-heal: most incidents resolved automatically, before anyone notices.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Modernisation embedded in every sprint — no separate project, no disruption to BAU.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Executive visibility into cost, quality, speed, and member impact in real time.</w:t>
      </w:r>
    </w:p>
    <w:p>
      <w:pPr>
        <w:spacing w:after="80" w:before="0"/>
      </w:pPr>
      <w:r>
        <w:t xml:space="preserve"/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506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IBM Capability</w:t>
            </w:r>
          </w:p>
        </w:tc>
        <w:tc>
          <w:tcPr>
            <w:tcW w:type="dxa" w:w="1814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Business Outcome</w:t>
            </w:r>
          </w:p>
        </w:tc>
      </w:tr>
      <w:tr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AI-First Development</w:t>
            </w:r>
          </w:p>
        </w:tc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25–40% faster delivery</w:t>
            </w:r>
          </w:p>
        </w:tc>
      </w:tr>
      <w:tr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GenAI Quality Engine</w:t>
            </w:r>
          </w:p>
        </w:tc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80%+ test automation</w:t>
            </w:r>
          </w:p>
        </w:tc>
      </w:tr>
      <w:tr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Agentic Operations</w:t>
            </w:r>
          </w:p>
        </w:tc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&gt;74% auto-resolution</w:t>
            </w:r>
          </w:p>
        </w:tc>
      </w:tr>
      <w:tr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Zero-Touch Delivery</w:t>
            </w:r>
          </w:p>
        </w:tc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−55% MTTR</w:t>
            </w:r>
          </w:p>
        </w:tc>
      </w:tr>
      <w:tr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Outcome Governance</w:t>
            </w:r>
          </w:p>
        </w:tc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Real-time ROI visibility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Current State vs. IBM 12-Month Targets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87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Metric</w:t>
            </w:r>
          </w:p>
        </w:tc>
        <w:tc>
          <w:tcPr>
            <w:tcW w:type="dxa" w:w="95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Today</w:t>
            </w:r>
          </w:p>
        </w:tc>
        <w:tc>
          <w:tcPr>
            <w:tcW w:type="dxa" w:w="1382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IBM Target</w:t>
            </w:r>
          </w:p>
        </w:tc>
      </w:tr>
      <w:tr>
        <w:tc>
          <w:tcPr>
            <w:tcW w:type="dxa" w:w="198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Test Automation Coverage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~25%</w:t>
            </w:r>
          </w:p>
        </w:tc>
        <w:tc>
          <w:tcPr>
            <w:tcW w:type="dxa" w:w="138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80%+</w:t>
            </w:r>
          </w:p>
        </w:tc>
      </w:tr>
      <w:tr>
        <w:tc>
          <w:tcPr>
            <w:tcW w:type="dxa" w:w="198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MTTR (Mean Time to Resolve)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&gt;4 hours</w:t>
            </w:r>
          </w:p>
        </w:tc>
        <w:tc>
          <w:tcPr>
            <w:tcW w:type="dxa" w:w="138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&lt;1.8 hours</w:t>
            </w:r>
          </w:p>
        </w:tc>
      </w:tr>
      <w:tr>
        <w:tc>
          <w:tcPr>
            <w:tcW w:type="dxa" w:w="198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P3/P4 Auto-Resolution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&lt;10%</w:t>
            </w:r>
          </w:p>
        </w:tc>
        <w:tc>
          <w:tcPr>
            <w:tcW w:type="dxa" w:w="138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&gt;74%</w:t>
            </w:r>
          </w:p>
        </w:tc>
      </w:tr>
      <w:tr>
        <w:tc>
          <w:tcPr>
            <w:tcW w:type="dxa" w:w="198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Defect Escape to Prod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High</w:t>
            </w:r>
          </w:p>
        </w:tc>
        <w:tc>
          <w:tcPr>
            <w:tcW w:type="dxa" w:w="138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−65%</w:t>
            </w:r>
          </w:p>
        </w:tc>
      </w:tr>
      <w:tr>
        <w:tc>
          <w:tcPr>
            <w:tcW w:type="dxa" w:w="198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System Availability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~99.7%</w:t>
            </w:r>
          </w:p>
        </w:tc>
        <w:tc>
          <w:tcPr>
            <w:tcW w:type="dxa" w:w="138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99.9%+</w:t>
            </w:r>
          </w:p>
        </w:tc>
      </w:tr>
    </w:tbl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224" w:right="1440" w:bottom="1080" w:left="1440" w:header="708" w:footer="708" w:gutter="0"/>
          <w:pgNumType/>
          <w:cols w:space="720" w:num="2"/>
          <w:docGrid w:linePitch="360"/>
        </w:sectPr>
      </w:pPr>
    </w:p>
    <w:p>
      <w:pPr>
        <w:pBdr>
          <w:top w:val="single" w:color="0F62FE" w:sz="12" w:space="6"/>
        </w:pBdr>
        <w:spacing w:after="20" w:before="12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2.0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THE IBM OPERATING MODEL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One team. Three disciplines. One outcome owner.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unifies Application Development, Quality Engineering, and Operations into product-aligned teams that own a business domain end-to-end. AI runs the engine beneath — routing, healing, testing, deploying — while teams focus on outcomes.</w:t>
      </w:r>
    </w:p>
    <w:p>
      <w:pPr>
        <w:spacing w:after="60" w:before="0"/>
      </w:pPr>
      <w: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gridSpan w:val="5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7"/>
                <w:szCs w:val="17"/>
              </w:rPr>
              <w:t xml:space="preserve">BUSINESS OUTCOMES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62FE"/>
                <w:sz w:val="18"/>
                <w:szCs w:val="18"/>
              </w:rPr>
              <w:t xml:space="preserve">Claims  ·  Enrollment  ·  Member Services  ·  Provider Operations  ·  Data Products</w:t>
            </w:r>
          </w:p>
        </w:tc>
      </w:tr>
      <w:tr>
        <w:tc>
          <w:tcPr>
            <w:tcW w:type="dxa" w:w="1872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Application
Development</w:t>
            </w:r>
          </w:p>
        </w:tc>
        <w:tc>
          <w:tcPr>
            <w:tcW w:type="dxa" w:w="1872"/>
            <w:tcBorders>
              <w:top w:val="single" w:color="007D79" w:sz="10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8"/>
                <w:szCs w:val="18"/>
              </w:rPr>
              <w:t xml:space="preserve">Quality
Engineering</w:t>
            </w:r>
          </w:p>
        </w:tc>
        <w:tc>
          <w:tcPr>
            <w:tcW w:type="dxa" w:w="1872"/>
            <w:tcBorders>
              <w:top w:val="single" w:color="0043CE" w:sz="10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Application
Management</w:t>
            </w:r>
          </w:p>
        </w:tc>
        <w:tc>
          <w:tcPr>
            <w:tcW w:type="dxa" w:w="1872"/>
            <w:tcBorders>
              <w:top w:val="single" w:color="6929C4" w:sz="10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18"/>
                <w:szCs w:val="18"/>
              </w:rPr>
              <w:t xml:space="preserve">Platform &amp;
Integration</w:t>
            </w:r>
          </w:p>
        </w:tc>
        <w:tc>
          <w:tcPr>
            <w:tcW w:type="dxa" w:w="1872"/>
            <w:tcBorders>
              <w:top w:val="single" w:color="005D5D" w:sz="10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8"/>
                <w:szCs w:val="18"/>
              </w:rPr>
              <w:t xml:space="preserve">Data &amp;
Analytics</w:t>
            </w:r>
          </w:p>
        </w:tc>
      </w:tr>
      <w:tr>
        <w:tc>
          <w:tcPr>
            <w:gridSpan w:val="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IBM AI ENGINE  —  AIOps  ·  Agentic Intelligence  ·  GenAI Quality  ·  ICA  ·  CareOps360</w:t>
            </w:r>
          </w:p>
        </w:tc>
      </w:tr>
      <w:tr>
        <w:tc>
          <w:tcPr>
            <w:gridSpan w:val="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PLATFORM FOUNDATION  —  Hybrid Cloud  ·  Integration Hub  ·  Mainframe  ·  Data Platforms  ·  Security &amp; Compliance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Three Integrated Disciplines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Application Development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AI-assisted engineering, automated pipelines, and risk-scored releases. Developers build faster because the machine handles the routine.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Quality Engineering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Testing is a continuous signal at every commit, sprint, and deployment. GenAI generates tests. Coverage reaches 80%+ within 12 months.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Application Management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Operations shift from reactive firefighting to predictive self-healing. Most incidents are resolved automatically — providers and members never notice.</w:t>
            </w:r>
          </w:p>
        </w:tc>
        <w:tc>
          <w:tcPr>
            <w:tcW w:type="dxa" w:w="3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Today vs. With IBM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246"/>
                  <w:tcBorders>
                    <w:top w:val="single" w:color="0F62FE" w:sz="10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Today</w:t>
                  </w:r>
                </w:p>
              </w:tc>
              <w:tc>
                <w:tcPr>
                  <w:tcW w:type="dxa" w:w="2246"/>
                  <w:tcBorders>
                    <w:top w:val="single" w:color="0F62FE" w:sz="10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With IBM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Siloed delivery towers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Unified product pods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Reactive firefighting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Predictive self-healing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Late-stage testing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Shift-left quality gates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Manual deployments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AI risk-scored pipelines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Activity-metric reports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Business outcome dashboards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Innovation as a project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Innovation in every sprint</w:t>
                  </w:r>
                </w:p>
              </w:tc>
            </w:tr>
          </w:tbl>
          <w:p/>
        </w:tc>
      </w:tr>
    </w:tbl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224" w:right="1440" w:bottom="1080" w:left="1440" w:header="708" w:footer="708" w:gutter="0"/>
          <w:pgNumType/>
          <w:docGrid w:linePitch="360"/>
        </w:sectPr>
      </w:pPr>
    </w:p>
    <w:p>
      <w:pPr>
        <w:pBdr>
          <w:top w:val="single" w:color="0F62FE" w:sz="12" w:space="6"/>
        </w:pBdr>
        <w:spacing w:after="20" w:before="12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3.0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AI-FIRST APPLICATION DEVELOPMENT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Build faster. Ship safer.</w:t>
      </w:r>
    </w:p>
    <w:p>
      <w:pPr>
        <w:spacing w:after="40" w:before="40"/>
        <w:ind w:left="200" w:right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1"/>
          <w:szCs w:val="21"/>
        </w:rPr>
        <w:t xml:space="preserve">“When a member’s enrollment takes two weeks because a downstream application is slow, that is a trust problem. IBM engineers the systems so that wait shrinks to hours.”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 — Member Experience Engineering</w:t>
      </w:r>
    </w:p>
    <w:p>
      <w:pPr>
        <w:pBdr>
          <w:bottom w:val="single" w:color="D0E2FF" w:sz="4"/>
        </w:pBdr>
        <w:spacing w:after="100" w:before="0"/>
        <w:ind w:left="720" w:right="72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How IBM Builds Faster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AI coding assistants generate code, flag risk patterns, and suggest optimisations — cutting delivery effort by 25–35%.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Every change passes AI-scored gates: security, performance, coverage, and risk. Low-risk changes deploy without human approval.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No separate modernisation programme. Every sprint includes an API-wrap, a library upgrade, or a refactor.</w:t>
      </w:r>
    </w:p>
    <w:p>
      <w:pPr>
        <w:pStyle w:val="ListParagraph"/>
        <w:numPr>
          <w:ilvl w:val="0"/>
          <w:numId w:val="1"/>
        </w:numPr>
        <w:spacing w:after="4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Development squads aligned to Horizon’s business domains — Claims, Enrollment, Member, Provider — so context stays with the team.</w:t>
      </w:r>
    </w:p>
    <w:p>
      <w:pPr>
        <w:spacing w:after="80" w:before="0"/>
      </w:pPr>
      <w:r>
        <w:t xml:space="preserve"/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592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Delivery Metric</w:t>
            </w:r>
          </w:p>
        </w:tc>
        <w:tc>
          <w:tcPr>
            <w:tcW w:type="dxa" w:w="1728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12-Month Target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Time-to-market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25–40% faster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Deployment frequency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2× current pace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Change failure rate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−60%</w:t>
            </w:r>
          </w:p>
        </w:tc>
      </w:tr>
      <w:tr>
        <w:tc>
          <w:tcPr>
            <w:tcW w:type="dxa" w:w="259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Rollback / recovery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&lt;15 minutes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Modernisation Approach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642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Action</w:t>
            </w:r>
          </w:p>
        </w:tc>
        <w:tc>
          <w:tcPr>
            <w:tcW w:type="dxa" w:w="1728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Approach</w:t>
            </w:r>
          </w:p>
        </w:tc>
        <w:tc>
          <w:tcPr>
            <w:tcW w:type="dxa" w:w="95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Wave</w:t>
            </w:r>
          </w:p>
        </w:tc>
      </w:tr>
      <w:tr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API-wrap legacy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Expose as service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Wave 1</w:t>
            </w:r>
          </w:p>
        </w:tc>
      </w:tr>
      <w:tr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Rehost workloads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Lift &amp; validate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Wave 2</w:t>
            </w:r>
          </w:p>
        </w:tc>
      </w:tr>
      <w:tr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Refactor priority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Selective rebuild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Wave 3</w:t>
            </w:r>
          </w:p>
        </w:tc>
      </w:tr>
      <w:tr>
        <w:tc>
          <w:tcPr>
            <w:tcW w:type="dxa" w:w="16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Retire &amp; replace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SaaS substitution</w:t>
            </w:r>
          </w:p>
        </w:tc>
        <w:tc>
          <w:tcPr>
            <w:tcW w:type="dxa" w:w="95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Ongoing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Speed Gains by Capability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8"/>
          <w:szCs w:val="18"/>
        </w:rPr>
        <w:t xml:space="preserve">Efficiency gain vs. traditional delivery: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AI-assisted coding</w:t>
            </w:r>
          </w:p>
        </w:tc>
        <w:tc>
          <w:tcPr>
            <w:tcW w:type="dxa" w:w="166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1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+30% capacity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Automated QE generation</w:t>
            </w:r>
          </w:p>
        </w:tc>
        <w:tc>
          <w:tcPr>
            <w:tcW w:type="dxa" w:w="15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D79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5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8"/>
                <w:szCs w:val="18"/>
              </w:rPr>
              <w:t xml:space="preserve">+25% QE speed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Risk-scored deployments</w:t>
            </w:r>
          </w:p>
        </w:tc>
        <w:tc>
          <w:tcPr>
            <w:tcW w:type="dxa" w:w="145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−60% failures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Modernisation-in-stride</w:t>
            </w:r>
          </w:p>
        </w:tc>
        <w:tc>
          <w:tcPr>
            <w:tcW w:type="dxa" w:w="124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6929C4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83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18"/>
                <w:szCs w:val="18"/>
              </w:rPr>
              <w:t xml:space="preserve">Debt −30%/yr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Domain pod alignment</w:t>
            </w:r>
          </w:p>
        </w:tc>
        <w:tc>
          <w:tcPr>
            <w:tcW w:type="dxa" w:w="135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5D5D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72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8"/>
                <w:szCs w:val="18"/>
              </w:rPr>
              <w:t xml:space="preserve">−40% handoffs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Why This Matters for Members &amp; Providers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Every improvement in delivery speed directly translates into faster feature releases for member-facing applications, quicker resolution of provider integration issues, and more timely processing of claims and authorisations.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When Horizon ships a change faster and with fewer defects, members get answers sooner, providers receive payments more quickly, and payers avoid the cost of rework and incident escalation.</w:t>
      </w:r>
    </w:p>
    <w:p>
      <w:pPr>
        <w:spacing w:after="80" w:before="0"/>
      </w:pPr>
      <w:r>
        <w:t xml:space="preserve"/>
      </w:r>
    </w:p>
    <w:p>
      <w:pPr>
        <w:shd w:fill="EBF2FF" w:val="clear"/>
        <w:spacing w:after="100" w:before="100"/>
        <w:ind w:left="160" w:right="16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19"/>
          <w:szCs w:val="19"/>
        </w:rPr>
        <w:t xml:space="preserve">AI-assisted development is not about replacing engineers. It is about amplifying them — so every Horizon engineer delivers twice the business value.</w:t>
      </w:r>
    </w:p>
    <w:p>
      <w:pPr>
        <w:sectPr>
          <w:headerReference w:type="default" r:id="rId11"/>
          <w:footerReference w:type="default" r:id="rId12"/>
          <w:type w:val="nextPage"/>
          <w:pgSz w:w="11906" w:h="16838" w:orient="portrait"/>
          <w:pgMar w:top="1224" w:right="1440" w:bottom="1080" w:left="1440" w:header="708" w:footer="708" w:gutter="0"/>
          <w:pgNumType/>
          <w:cols w:space="720" w:num="2"/>
          <w:docGrid w:linePitch="360"/>
        </w:sectPr>
      </w:pPr>
    </w:p>
    <w:p>
      <w:pPr>
        <w:pBdr>
          <w:top w:val="single" w:color="0F62FE" w:sz="12" w:space="6"/>
        </w:pBdr>
        <w:spacing w:after="20" w:before="12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4.0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QUALITY ENGINEERING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0"/>
          <w:szCs w:val="20"/>
        </w:rPr>
        <w:t xml:space="preserve">Quality is a continuous signal — not a final checkpoint.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The Four Quality Layers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Commit-Level AI Review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The instant a developer pushes code, AI reviews it — flagging security risk, test gaps, and quality anti-patterns before any human sees the PR.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GenAI Test Generation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AI synthesises regression, integration, and edge-case tests from code changes at commit speed. Coverage grows automatically — no manual test authoring required.</w:t>
      </w:r>
    </w:p>
    <w:p>
      <w:pPr>
        <w:spacing w:after="100" w:before="0"/>
      </w:pPr>
      <w:r>
        <w:t xml:space="preserve"/>
      </w:r>
    </w:p>
    <w:p>
      <w:pPr>
        <w:spacing w:after="6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19"/>
          <w:szCs w:val="19"/>
        </w:rPr>
        <w:t xml:space="preserve">Every defect that reaches production is a promise broken — a provider’s claim processed incorrectly, a member’s benefits delayed. IBM’s quality engine is designed so that defect never leaves the building.</w:t>
      </w:r>
    </w:p>
    <w:p>
      <w:pPr>
        <w:spacing w:after="0" w:before="0"/>
      </w:pPr>
      <w:r>
        <w:br w:type="column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Defect Prediction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AI models trained on Horizon’s own incident history identify high-risk code paths before they reach UAT. Fewer defects reach staging; far fewer reach production.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Production Feedback Loop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Every production defect teaches the quality engine. The test suite tightens with every release cycle — an ever-improving quality net.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Automation Coverage Journey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7"/>
          <w:szCs w:val="17"/>
        </w:rPr>
        <w:t xml:space="preserve">Month-by-month progression:</w:t>
      </w:r>
    </w:p>
    <w:tbl>
      <w:tblPr>
        <w:tblW w:type="dxa" w:w="28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0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0  — Baseline</w:t>
            </w:r>
          </w:p>
        </w:tc>
        <w:tc>
          <w:tcPr>
            <w:tcW w:type="dxa" w:w="37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8D8D8D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111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3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D8D8D"/>
                <w:sz w:val="18"/>
                <w:szCs w:val="18"/>
              </w:rPr>
              <w:t xml:space="preserve">~25%</w:t>
            </w:r>
          </w:p>
        </w:tc>
      </w:tr>
      <w:tr>
        <w:tc>
          <w:tcPr>
            <w:tcW w:type="dxa" w:w="10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3  — Ignite</w:t>
            </w:r>
          </w:p>
        </w:tc>
        <w:tc>
          <w:tcPr>
            <w:tcW w:type="dxa" w:w="66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2C3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81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3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8"/>
                <w:szCs w:val="18"/>
              </w:rPr>
              <w:t xml:space="preserve">45%</w:t>
            </w:r>
          </w:p>
        </w:tc>
      </w:tr>
      <w:tr>
        <w:tc>
          <w:tcPr>
            <w:tcW w:type="dxa" w:w="10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6  — Scale</w:t>
            </w:r>
          </w:p>
        </w:tc>
        <w:tc>
          <w:tcPr>
            <w:tcW w:type="dxa" w:w="91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56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3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62%</w:t>
            </w:r>
          </w:p>
        </w:tc>
      </w:tr>
      <w:tr>
        <w:tc>
          <w:tcPr>
            <w:tcW w:type="dxa" w:w="10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9  — Optimise</w:t>
            </w:r>
          </w:p>
        </w:tc>
        <w:tc>
          <w:tcPr>
            <w:tcW w:type="dxa" w:w="111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37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3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75%</w:t>
            </w:r>
          </w:p>
        </w:tc>
      </w:tr>
      <w:tr>
        <w:tc>
          <w:tcPr>
            <w:tcW w:type="dxa" w:w="10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12 — Target</w:t>
            </w:r>
          </w:p>
        </w:tc>
        <w:tc>
          <w:tcPr>
            <w:tcW w:type="dxa" w:w="121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1141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26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3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82%+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QE Metrics</w:t>
      </w:r>
    </w:p>
    <w:tbl>
      <w:tblPr>
        <w:tblW w:type="dxa" w:w="28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382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Metric</w:t>
            </w:r>
          </w:p>
        </w:tc>
        <w:tc>
          <w:tcPr>
            <w:tcW w:type="dxa" w:w="518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Now</w:t>
            </w:r>
          </w:p>
        </w:tc>
        <w:tc>
          <w:tcPr>
            <w:tcW w:type="dxa" w:w="979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138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Test automation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~25%</w:t>
            </w:r>
          </w:p>
        </w:tc>
        <w:tc>
          <w:tcPr>
            <w:tcW w:type="dxa" w:w="97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80%+</w:t>
            </w:r>
          </w:p>
        </w:tc>
      </w:tr>
      <w:tr>
        <w:tc>
          <w:tcPr>
            <w:tcW w:type="dxa" w:w="138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Defect escape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High</w:t>
            </w:r>
          </w:p>
        </w:tc>
        <w:tc>
          <w:tcPr>
            <w:tcW w:type="dxa" w:w="97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−65%</w:t>
            </w:r>
          </w:p>
        </w:tc>
      </w:tr>
      <w:tr>
        <w:tc>
          <w:tcPr>
            <w:tcW w:type="dxa" w:w="138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Regression time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Multi-day</w:t>
            </w:r>
          </w:p>
        </w:tc>
        <w:tc>
          <w:tcPr>
            <w:tcW w:type="dxa" w:w="97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−70%</w:t>
            </w:r>
          </w:p>
        </w:tc>
      </w:tr>
      <w:tr>
        <w:tc>
          <w:tcPr>
            <w:tcW w:type="dxa" w:w="138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MTTD</w:t>
            </w:r>
          </w:p>
        </w:tc>
        <w:tc>
          <w:tcPr>
            <w:tcW w:type="dxa" w:w="5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&gt;2 hours</w:t>
            </w:r>
          </w:p>
        </w:tc>
        <w:tc>
          <w:tcPr>
            <w:tcW w:type="dxa" w:w="97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&lt;15 min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Release Gate Checklist</w:t>
      </w:r>
    </w:p>
    <w:tbl>
      <w:tblPr>
        <w:tblW w:type="dxa" w:w="28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864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Gate</w:t>
            </w:r>
          </w:p>
        </w:tc>
        <w:tc>
          <w:tcPr>
            <w:tcW w:type="dxa" w:w="2016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Criteria &amp; Touch</w:t>
            </w:r>
          </w:p>
        </w:tc>
      </w:tr>
      <w:tr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Commit</w:t>
            </w:r>
          </w:p>
        </w:tc>
        <w:tc>
          <w:tcPr>
            <w:tcW w:type="dxa" w:w="201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 review + coverage — no human</w:t>
            </w:r>
          </w:p>
        </w:tc>
      </w:tr>
      <w:tr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Build</w:t>
            </w:r>
          </w:p>
        </w:tc>
        <w:tc>
          <w:tcPr>
            <w:tcW w:type="dxa" w:w="201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Unit pass rate &gt;98% — no human</w:t>
            </w:r>
          </w:p>
        </w:tc>
      </w:tr>
      <w:tr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Staging</w:t>
            </w:r>
          </w:p>
        </w:tc>
        <w:tc>
          <w:tcPr>
            <w:tcW w:type="dxa" w:w="201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Integration + perf — no human</w:t>
            </w:r>
          </w:p>
        </w:tc>
      </w:tr>
      <w:tr>
        <w:tc>
          <w:tcPr>
            <w:tcW w:type="dxa" w:w="86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Release</w:t>
            </w:r>
          </w:p>
        </w:tc>
        <w:tc>
          <w:tcPr>
            <w:tcW w:type="dxa" w:w="201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 risk score + Tier 1 sign-off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hd w:fill="EBF2FF" w:val="clear"/>
        <w:spacing w:after="100" w:before="100"/>
        <w:ind w:left="160" w:right="16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19"/>
          <w:szCs w:val="19"/>
        </w:rPr>
        <w:t xml:space="preserve">Quality is owned by the full team — not a separate QA function.</w:t>
      </w:r>
    </w:p>
    <w:p>
      <w:pPr>
        <w:sectPr>
          <w:headerReference w:type="default" r:id="rId13"/>
          <w:footerReference w:type="default" r:id="rId14"/>
          <w:type w:val="nextPage"/>
          <w:pgSz w:w="11906" w:h="16838" w:orient="portrait"/>
          <w:pgMar w:top="1224" w:right="1440" w:bottom="1080" w:left="1440" w:header="708" w:footer="708" w:gutter="0"/>
          <w:pgNumType/>
          <w:cols w:space="360" w:num="3"/>
          <w:docGrid w:linePitch="360"/>
        </w:sectPr>
      </w:pPr>
    </w:p>
    <w:p>
      <w:pPr>
        <w:pBdr>
          <w:top w:val="single" w:color="0F62FE" w:sz="12" w:space="6"/>
        </w:pBdr>
        <w:spacing w:after="20" w:before="12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5.0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AIOPS &amp; AGENTIC OPERATIONS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From reactive firefighting to self-healing intelligence</w:t>
      </w:r>
    </w:p>
    <w:p>
      <w:pPr>
        <w:spacing w:after="40" w:before="40"/>
        <w:ind w:left="200" w:right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1"/>
          <w:szCs w:val="21"/>
        </w:rPr>
        <w:t xml:space="preserve">“A provider should never have to call a helpdesk because a claims system is slow. A member should never see an error because two systems failed to sync overnight. IBM’s AI operations model is designed so those moments simply stop happening.”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AIOps — Zero-Touch Operations Framework</w:t>
      </w:r>
    </w:p>
    <w:p>
      <w:pPr>
        <w:pBdr>
          <w:bottom w:val="single" w:color="D0E2FF" w:sz="4"/>
        </w:pBdr>
        <w:spacing w:after="100" w:before="0"/>
        <w:ind w:left="720" w:right="72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The Zero-Touch Operations Pipeline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5"/>
                <w:szCs w:val="15"/>
              </w:rPr>
              <w:t xml:space="preserve">STEP 1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Detect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Correlate signals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Anomaly detection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&gt;60% noise cut</w:t>
            </w:r>
          </w:p>
          <w:p>
            <w:pPr>
              <w:spacing w:after="6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72C3" w:sz="12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5"/>
                <w:szCs w:val="15"/>
              </w:rPr>
              <w:t xml:space="preserve">STEP 2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Triage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AI routing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Impact scoring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Auto-prioritise</w:t>
            </w:r>
          </w:p>
          <w:p>
            <w:pPr>
              <w:spacing w:after="6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43CE" w:sz="12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5"/>
                <w:szCs w:val="15"/>
              </w:rPr>
              <w:t xml:space="preserve">STEP 3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Diagnose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Root cause AI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Runbook guidance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Pattern matching</w:t>
            </w:r>
          </w:p>
          <w:p>
            <w:pPr>
              <w:spacing w:after="6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7D79" w:sz="12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5"/>
                <w:szCs w:val="15"/>
              </w:rPr>
              <w:t xml:space="preserve">STEP 4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Resolve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Self-heal P3/P4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Auto-remediate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Zero-touch</w:t>
            </w:r>
          </w:p>
          <w:p>
            <w:pPr>
              <w:spacing w:after="6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5D5D" w:sz="12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5"/>
                <w:szCs w:val="15"/>
              </w:rPr>
              <w:t xml:space="preserve">STEP 5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Learn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Post-incident AI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Knowledge capture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Prevent recurrence</w:t>
            </w:r>
          </w:p>
          <w:p>
            <w:pPr>
              <w:spacing w:after="60" w:before="0"/>
            </w:pPr>
            <w:r>
              <w:t xml:space="preserve"/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16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AI Agents &amp; Annual Value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2059"/>
                  <w:tcBorders>
                    <w:top w:val="single" w:color="0F62FE" w:sz="10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Agent</w:t>
                  </w:r>
                </w:p>
              </w:tc>
              <w:tc>
                <w:tcPr>
                  <w:tcW w:type="dxa" w:w="1591"/>
                  <w:tcBorders>
                    <w:top w:val="single" w:color="0F62FE" w:sz="10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What It Does</w:t>
                  </w:r>
                </w:p>
              </w:tc>
              <w:tc>
                <w:tcPr>
                  <w:tcW w:type="dxa" w:w="842"/>
                  <w:tcBorders>
                    <w:top w:val="single" w:color="0F62FE" w:sz="10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Detection &amp; Correlation</w:t>
                  </w:r>
                </w:p>
              </w:tc>
              <w:tc>
                <w:tcPr>
                  <w:tcW w:type="dxa" w:w="159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Cuts alert noise by &gt;60%</w:t>
                  </w:r>
                </w:p>
              </w:tc>
              <w:tc>
                <w:tcPr>
                  <w:tcW w:type="dxa" w:w="84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$2.5–3.5M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Triage AI</w:t>
                  </w:r>
                </w:p>
              </w:tc>
              <w:tc>
                <w:tcPr>
                  <w:tcW w:type="dxa" w:w="159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Routes issues instantly</w:t>
                  </w:r>
                </w:p>
              </w:tc>
              <w:tc>
                <w:tcPr>
                  <w:tcW w:type="dxa" w:w="84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$1.3–1.5M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Root Cause Agent</w:t>
                  </w:r>
                </w:p>
              </w:tc>
              <w:tc>
                <w:tcPr>
                  <w:tcW w:type="dxa" w:w="159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Diagnoses in seconds</w:t>
                  </w:r>
                </w:p>
              </w:tc>
              <w:tc>
                <w:tcPr>
                  <w:tcW w:type="dxa" w:w="84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$2.0–3.0M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Auto-Remediation</w:t>
                  </w:r>
                </w:p>
              </w:tc>
              <w:tc>
                <w:tcPr>
                  <w:tcW w:type="dxa" w:w="159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Resolves P3/P4 without human touch</w:t>
                  </w:r>
                </w:p>
              </w:tc>
              <w:tc>
                <w:tcPr>
                  <w:tcW w:type="dxa" w:w="84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$1.5–2.0M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Knowledge Agent</w:t>
                  </w:r>
                </w:p>
              </w:tc>
              <w:tc>
                <w:tcPr>
                  <w:tcW w:type="dxa" w:w="159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Learns from every incident</w:t>
                  </w:r>
                </w:p>
              </w:tc>
              <w:tc>
                <w:tcPr>
                  <w:tcW w:type="dxa" w:w="84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$1.0–1.3M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Deployment AI</w:t>
                  </w:r>
                </w:p>
              </w:tc>
              <w:tc>
                <w:tcPr>
                  <w:tcW w:type="dxa" w:w="159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Risk-scores every release</w:t>
                  </w:r>
                </w:p>
              </w:tc>
              <w:tc>
                <w:tcPr>
                  <w:tcW w:type="dxa" w:w="84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$0.8–1.2M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16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Before vs. After — Key Metrics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2059"/>
                  <w:tcBorders>
                    <w:top w:val="single" w:color="0F62FE" w:sz="10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Metric</w:t>
                  </w:r>
                </w:p>
              </w:tc>
              <w:tc>
                <w:tcPr>
                  <w:tcW w:type="dxa" w:w="1123"/>
                  <w:tcBorders>
                    <w:top w:val="single" w:color="0F62FE" w:sz="10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Today</w:t>
                  </w:r>
                </w:p>
              </w:tc>
              <w:tc>
                <w:tcPr>
                  <w:tcW w:type="dxa" w:w="1310"/>
                  <w:tcBorders>
                    <w:top w:val="single" w:color="0F62FE" w:sz="10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With IBM AIOps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Mean Time to Resolve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&gt;4 hours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&lt;1.8 hours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P3/P4 Auto-Resolution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&lt;10%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&gt;74%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Alert Noise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Unfiltered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&gt;60% cut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System Availability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~99.7%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99.9%+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Recurring Incidents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Unmanaged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−50% demand</w:t>
                  </w:r>
                </w:p>
              </w:tc>
            </w:tr>
          </w:tbl>
          <w:p>
            <w:pPr>
              <w:spacing w:after="80" w:before="0"/>
            </w:pPr>
            <w:r>
              <w:t xml:space="preserve"/>
            </w:r>
          </w:p>
          <w:p>
            <w:pPr>
              <w:shd w:fill="EBF2FF" w:val="clear"/>
              <w:spacing w:after="100" w:before="100"/>
              <w:ind w:left="160" w:right="1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Target: most P3/P4 incidents resolved before a human is notified. Zero-touch operations.</w:t>
            </w:r>
          </w:p>
        </w:tc>
      </w:tr>
    </w:tbl>
    <w:p>
      <w:pPr>
        <w:sectPr>
          <w:headerReference w:type="default" r:id="rId15"/>
          <w:footerReference w:type="default" r:id="rId16"/>
          <w:type w:val="nextPage"/>
          <w:pgSz w:w="11906" w:h="16838" w:orient="portrait"/>
          <w:pgMar w:top="1224" w:right="1440" w:bottom="1080" w:left="1440" w:header="708" w:footer="708" w:gutter="0"/>
          <w:pgNumType/>
          <w:docGrid w:linePitch="360"/>
        </w:sectPr>
      </w:pPr>
    </w:p>
    <w:p>
      <w:pPr>
        <w:pBdr>
          <w:top w:val="single" w:color="0F62FE" w:sz="12" w:space="6"/>
        </w:pBdr>
        <w:spacing w:after="20" w:before="12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6.0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BUSINESS OUTCOMES &amp; VALUE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Every initiative connects to a measurable result</w:t>
      </w:r>
    </w:p>
    <w:p>
      <w:pPr>
        <w:spacing w:after="40" w:before="40"/>
        <w:ind w:left="200" w:right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1"/>
          <w:szCs w:val="21"/>
        </w:rPr>
        <w:t xml:space="preserve">“A payer that processes a claim faster spends less on administration and earns more member trust. IBM is building that future for Horizon — one sprint at a time.”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Outcome Governance Framework</w:t>
      </w:r>
    </w:p>
    <w:p>
      <w:pPr>
        <w:pBdr>
          <w:bottom w:val="single" w:color="D0E2FF" w:sz="4"/>
        </w:pBdr>
        <w:spacing w:after="100" w:before="0"/>
        <w:ind w:left="720" w:right="72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Business Domain KPIs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555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Domain</w:t>
            </w:r>
          </w:p>
        </w:tc>
        <w:tc>
          <w:tcPr>
            <w:tcW w:type="dxa" w:w="1728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KPI</w:t>
            </w:r>
          </w:p>
        </w:tc>
        <w:tc>
          <w:tcPr>
            <w:tcW w:type="dxa" w:w="1037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Claims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Adjudication cycle time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−30%</w:t>
            </w:r>
          </w:p>
        </w:tc>
      </w:tr>
      <w:tr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Enrollment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Time-to-activation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−40%</w:t>
            </w:r>
          </w:p>
        </w:tc>
      </w:tr>
      <w:tr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Member Services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First-call resolution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+25%</w:t>
            </w:r>
          </w:p>
        </w:tc>
      </w:tr>
      <w:tr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Provider Ops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Auth processing time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−35%</w:t>
            </w:r>
          </w:p>
        </w:tc>
      </w:tr>
      <w:tr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Data &amp; Reporting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Report delivery latency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−50%</w:t>
            </w:r>
          </w:p>
        </w:tc>
      </w:tr>
      <w:tr>
        <w:tc>
          <w:tcPr>
            <w:tcW w:type="dxa" w:w="155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IT Operations</w:t>
            </w:r>
          </w:p>
        </w:tc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Auto-resolution rate</w:t>
            </w:r>
          </w:p>
        </w:tc>
        <w:tc>
          <w:tcPr>
            <w:tcW w:type="dxa" w:w="103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&gt;74%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Cumulative Cost Takeout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8"/>
          <w:szCs w:val="18"/>
        </w:rPr>
        <w:t xml:space="preserve">Directional — baselines locked in Phase 0: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3  — Ignite</w:t>
            </w:r>
          </w:p>
        </w:tc>
        <w:tc>
          <w:tcPr>
            <w:tcW w:type="dxa" w:w="2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2C3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183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8"/>
                <w:szCs w:val="18"/>
              </w:rPr>
              <w:t xml:space="preserve">$1–2M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6  — Scale</w:t>
            </w:r>
          </w:p>
        </w:tc>
        <w:tc>
          <w:tcPr>
            <w:tcW w:type="dxa" w:w="6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145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$3–5M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12 — Optimize</w:t>
            </w:r>
          </w:p>
        </w:tc>
        <w:tc>
          <w:tcPr>
            <w:tcW w:type="dxa" w:w="124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83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$6–10M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Month 24 — Transform</w:t>
            </w:r>
          </w:p>
        </w:tc>
        <w:tc>
          <w:tcPr>
            <w:tcW w:type="dxa" w:w="20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1141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$12–18M+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Annual Value by Initiative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8"/>
          <w:szCs w:val="18"/>
        </w:rPr>
        <w:t xml:space="preserve">Directional annual contribution: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AIOps &amp; Self-Healing</w:t>
            </w:r>
          </w:p>
        </w:tc>
        <w:tc>
          <w:tcPr>
            <w:tcW w:type="dxa" w:w="176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31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$3.5–6.5M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GenAI Quality Engine</w:t>
            </w:r>
          </w:p>
        </w:tc>
        <w:tc>
          <w:tcPr>
            <w:tcW w:type="dxa" w:w="149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D79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5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8"/>
                <w:szCs w:val="18"/>
              </w:rPr>
              <w:t xml:space="preserve">$2.5–4.0M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Zero-Touch Delivery</w:t>
            </w:r>
          </w:p>
        </w:tc>
        <w:tc>
          <w:tcPr>
            <w:tcW w:type="dxa" w:w="124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83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$2.0–3.0M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Platform Modernisation</w:t>
            </w:r>
          </w:p>
        </w:tc>
        <w:tc>
          <w:tcPr>
            <w:tcW w:type="dxa" w:w="99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6929C4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1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18"/>
                <w:szCs w:val="18"/>
              </w:rPr>
              <w:t xml:space="preserve">$1.5–2.5M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Demand &amp; Ticket Reduction</w:t>
            </w:r>
          </w:p>
        </w:tc>
        <w:tc>
          <w:tcPr>
            <w:tcW w:type="dxa" w:w="114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5D5D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9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8"/>
                <w:szCs w:val="18"/>
              </w:rPr>
              <w:t xml:space="preserve">$1.0–2.0M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Three-Tier Governance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Operational (Weekly)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SLA adherence, MTTR, pipeline velocity — live in CareOps360.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Executive (Monthly)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Cost takeout actuals, coverage progress, business KPI movement.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Board (Quarterly)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Total value realised, innovation delivered, year-ahead priorities.</w:t>
      </w:r>
    </w:p>
    <w:p>
      <w:pPr>
        <w:spacing w:after="100" w:before="0"/>
      </w:pPr>
      <w:r>
        <w:t xml:space="preserve"/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728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Value Area</w:t>
            </w:r>
          </w:p>
        </w:tc>
        <w:tc>
          <w:tcPr>
            <w:tcW w:type="dxa" w:w="1296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Cadence</w:t>
            </w:r>
          </w:p>
        </w:tc>
        <w:tc>
          <w:tcPr>
            <w:tcW w:type="dxa" w:w="1296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Tracked In</w:t>
            </w:r>
          </w:p>
        </w:tc>
      </w:tr>
      <w:tr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Operational Excellence</w:t>
            </w:r>
          </w:p>
        </w:tc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Weekly</w:t>
            </w:r>
          </w:p>
        </w:tc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ITSM + AIOps</w:t>
            </w:r>
          </w:p>
        </w:tc>
      </w:tr>
      <w:tr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Cost &amp; Productivity</w:t>
            </w:r>
          </w:p>
        </w:tc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Monthly</w:t>
            </w:r>
          </w:p>
        </w:tc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Finance + ITSM</w:t>
            </w:r>
          </w:p>
        </w:tc>
      </w:tr>
      <w:tr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Quality Engineering</w:t>
            </w:r>
          </w:p>
        </w:tc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Per sprint</w:t>
            </w:r>
          </w:p>
        </w:tc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QE + CI/CD</w:t>
            </w:r>
          </w:p>
        </w:tc>
      </w:tr>
      <w:tr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Platform &amp; Mod.</w:t>
            </w:r>
          </w:p>
        </w:tc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Monthly</w:t>
            </w:r>
          </w:p>
        </w:tc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CMDB + Sec scans</w:t>
            </w:r>
          </w:p>
        </w:tc>
      </w:tr>
      <w:tr>
        <w:tc>
          <w:tcPr>
            <w:tcW w:type="dxa" w:w="17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Business Outcomes</w:t>
            </w:r>
          </w:p>
        </w:tc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Monthly</w:t>
            </w:r>
          </w:p>
        </w:tc>
        <w:tc>
          <w:tcPr>
            <w:tcW w:type="dxa" w:w="129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Domain dashboards</w:t>
            </w:r>
          </w:p>
        </w:tc>
      </w:tr>
    </w:tbl>
    <w:p>
      <w:pPr>
        <w:sectPr>
          <w:headerReference w:type="default" r:id="rId17"/>
          <w:footerReference w:type="default" r:id="rId18"/>
          <w:type w:val="nextPage"/>
          <w:pgSz w:w="11906" w:h="16838" w:orient="portrait"/>
          <w:pgMar w:top="1224" w:right="1440" w:bottom="1080" w:left="1440" w:header="708" w:footer="708" w:gutter="0"/>
          <w:pgNumType/>
          <w:cols w:space="720" w:num="2"/>
          <w:docGrid w:linePitch="360"/>
        </w:sectPr>
      </w:pPr>
    </w:p>
    <w:p>
      <w:pPr>
        <w:pBdr>
          <w:top w:val="single" w:color="0F62FE" w:sz="12" w:space="6"/>
        </w:pBdr>
        <w:spacing w:after="20" w:before="12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7.0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PLATFORM &amp; DATA MODERNISATION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Eliminating the debt that slows Horizon down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embeds modernisation into steady-state delivery — no separate programme, no disruption to BAU. Every sprint includes a modernisation action. Technical debt is tracked by business impact and reduced systematically.</w:t>
      </w:r>
    </w:p>
    <w:p>
      <w:pPr>
        <w:spacing w:after="60" w:before="0"/>
      </w:pPr>
      <w:r>
        <w:t xml:space="preserve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Modernisation Waves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814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Workstream</w:t>
            </w:r>
          </w:p>
        </w:tc>
        <w:tc>
          <w:tcPr>
            <w:tcW w:type="dxa" w:w="1598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Approach</w:t>
            </w:r>
          </w:p>
        </w:tc>
        <w:tc>
          <w:tcPr>
            <w:tcW w:type="dxa" w:w="907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Wave</w:t>
            </w:r>
          </w:p>
        </w:tc>
      </w:tr>
      <w:tr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Integration Hub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API-first + event streaming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Wave 1</w:t>
            </w:r>
          </w:p>
        </w:tc>
      </w:tr>
      <w:tr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Mainframe APIs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API-wrap strategy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Wave 1</w:t>
            </w:r>
          </w:p>
        </w:tc>
      </w:tr>
      <w:tr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DataOps Pipelines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AI-driven quality engine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Wave 1</w:t>
            </w:r>
          </w:p>
        </w:tc>
      </w:tr>
      <w:tr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App Portfolio (~500)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Assess → rationalise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Wave 2</w:t>
            </w:r>
          </w:p>
        </w:tc>
      </w:tr>
      <w:tr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Mainframe Rehost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Lift-and-validate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Wave 2</w:t>
            </w:r>
          </w:p>
        </w:tc>
      </w:tr>
      <w:tr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Cloud Optimisation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Cost + performance tuning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Wave 2</w:t>
            </w:r>
          </w:p>
        </w:tc>
      </w:tr>
      <w:tr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Mainframe Refactor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Selective modernise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Wave 3</w:t>
            </w:r>
          </w:p>
        </w:tc>
      </w:tr>
      <w:tr>
        <w:tc>
          <w:tcPr>
            <w:tcW w:type="dxa" w:w="181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Security &amp; Compliance</w:t>
            </w:r>
          </w:p>
        </w:tc>
        <w:tc>
          <w:tcPr>
            <w:tcW w:type="dxa" w:w="159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n-1 + auto-patch</w:t>
            </w:r>
          </w:p>
        </w:tc>
        <w:tc>
          <w:tcPr>
            <w:tcW w:type="dxa" w:w="90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Ongoing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Technical Debt Reduction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8"/>
          <w:szCs w:val="18"/>
        </w:rPr>
        <w:t xml:space="preserve">Debt index (100 = today) — quarterly trajectory: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Q1  Baseline</w:t>
            </w:r>
          </w:p>
        </w:tc>
        <w:tc>
          <w:tcPr>
            <w:tcW w:type="dxa" w:w="20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DA1E28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A1E28"/>
                <w:sz w:val="18"/>
                <w:szCs w:val="18"/>
              </w:rPr>
              <w:t xml:space="preserve">100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Q2  Wave 1</w:t>
            </w:r>
          </w:p>
        </w:tc>
        <w:tc>
          <w:tcPr>
            <w:tcW w:type="dxa" w:w="16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57373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5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57373"/>
                <w:sz w:val="18"/>
                <w:szCs w:val="18"/>
              </w:rPr>
              <w:t xml:space="preserve">78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Q3  Scale</w:t>
            </w:r>
          </w:p>
        </w:tc>
        <w:tc>
          <w:tcPr>
            <w:tcW w:type="dxa" w:w="12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2C3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7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8"/>
                <w:szCs w:val="18"/>
              </w:rPr>
              <w:t xml:space="preserve">62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Q4  Optimise</w:t>
            </w:r>
          </w:p>
        </w:tc>
        <w:tc>
          <w:tcPr>
            <w:tcW w:type="dxa" w:w="99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1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48</w:t>
            </w:r>
          </w:p>
        </w:tc>
      </w:tr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8"/>
                <w:szCs w:val="18"/>
              </w:rPr>
              <w:t xml:space="preserve">Year 2 Target</w:t>
            </w:r>
          </w:p>
        </w:tc>
        <w:tc>
          <w:tcPr>
            <w:tcW w:type="dxa" w:w="5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1141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149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6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40"/>
              <w:left w:type="dxa" w:w="60"/>
              <w:bottom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&lt;30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Integration Architecture Shift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16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Current State</w:t>
            </w:r>
          </w:p>
        </w:tc>
        <w:tc>
          <w:tcPr>
            <w:tcW w:type="dxa" w:w="216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IBM Target State</w:t>
            </w:r>
          </w:p>
        </w:tc>
      </w:tr>
      <w:tr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Point-to-point coupling</w:t>
            </w:r>
          </w:p>
        </w:tc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API-first Integration Hub</w:t>
            </w:r>
          </w:p>
        </w:tc>
      </w:tr>
      <w:tr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Batch-heavy processing</w:t>
            </w:r>
          </w:p>
        </w:tc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Event-driven streaming</w:t>
            </w:r>
          </w:p>
        </w:tc>
      </w:tr>
      <w:tr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Manual data pipelines</w:t>
            </w:r>
          </w:p>
        </w:tc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AI-quality DataOps</w:t>
            </w:r>
          </w:p>
        </w:tc>
      </w:tr>
      <w:tr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Siloed observability</w:t>
            </w:r>
          </w:p>
        </w:tc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Unified estate monitoring</w:t>
            </w:r>
          </w:p>
        </w:tc>
      </w:tr>
      <w:tr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Manual patching cycles</w:t>
            </w:r>
          </w:p>
        </w:tc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Auto-patch + n-1 standard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hd w:fill="EBF2FF" w:val="clear"/>
        <w:spacing w:after="100" w:before="100"/>
        <w:ind w:left="160" w:right="16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19"/>
          <w:szCs w:val="19"/>
        </w:rPr>
        <w:t xml:space="preserve">Modernisation is not a programme. It is a habit — built into every sprint, compounding every month.</w:t>
      </w:r>
    </w:p>
    <w:p>
      <w:pPr>
        <w:sectPr>
          <w:headerReference w:type="default" r:id="rId19"/>
          <w:footerReference w:type="default" r:id="rId20"/>
          <w:type w:val="nextPage"/>
          <w:pgSz w:w="11906" w:h="16838" w:orient="portrait"/>
          <w:pgMar w:top="1224" w:right="1440" w:bottom="1080" w:left="1440" w:header="708" w:footer="708" w:gutter="0"/>
          <w:pgNumType/>
          <w:cols w:space="720" w:num="2"/>
          <w:docGrid w:linePitch="360"/>
        </w:sectPr>
      </w:pPr>
    </w:p>
    <w:p>
      <w:pPr>
        <w:pBdr>
          <w:top w:val="single" w:color="0F62FE" w:sz="12" w:space="6"/>
        </w:pBdr>
        <w:spacing w:after="20" w:before="12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8.0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PHASED ROADMAP &amp; VALUE MILESTONES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Risk-controlled · Compounding value · Transparent governance</w:t>
      </w:r>
    </w:p>
    <w:p>
      <w:pPr>
        <w:spacing w:after="40" w:before="40"/>
        <w:ind w:left="200" w:right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1"/>
          <w:szCs w:val="21"/>
        </w:rPr>
        <w:t xml:space="preserve">“Every day a claim processes faster, a prior auth returns sooner, or an outage is resolved before it is noticed — that is a day Horizon’s members and providers experience the difference. IBM’s roadmap is structured so those days start in Week 1, not Year 2.”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Delivery Governance</w:t>
      </w:r>
    </w:p>
    <w:p>
      <w:pPr>
        <w:pBdr>
          <w:bottom w:val="single" w:color="D0E2FF" w:sz="4"/>
        </w:pBdr>
        <w:spacing w:after="100" w:before="0"/>
        <w:ind w:left="720" w:right="72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Phase-by-Phase Delivery Plan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404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</w:t>
            </w:r>
          </w:p>
        </w:tc>
        <w:tc>
          <w:tcPr>
            <w:tcW w:type="dxa" w:w="103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Timeframe</w:t>
            </w:r>
          </w:p>
        </w:tc>
        <w:tc>
          <w:tcPr>
            <w:tcW w:type="dxa" w:w="4118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Focus &amp; Key Deliverables</w:t>
            </w:r>
          </w:p>
        </w:tc>
        <w:tc>
          <w:tcPr>
            <w:tcW w:type="dxa" w:w="2808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Value Signal</w:t>
            </w:r>
          </w:p>
        </w:tc>
      </w:tr>
      <w:tr>
        <w:tc>
          <w:tcPr>
            <w:tcW w:type="dxa" w:w="140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0
Foundation</w:t>
            </w:r>
          </w:p>
        </w:tc>
        <w:tc>
          <w:tcPr>
            <w:tcW w:type="dxa" w:w="103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0–8 weeks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Telemetry onboarding  ·  Baseline measurement  ·  Transition plan  ·  AI environment setup  ·  Innovation council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Live dashboards; baselines locked; zero BAU disruption</w:t>
            </w:r>
          </w:p>
        </w:tc>
      </w:tr>
      <w:tr>
        <w:tc>
          <w:tcPr>
            <w:tcW w:type="dxa" w:w="140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1
Ignite</w:t>
            </w:r>
          </w:p>
        </w:tc>
        <w:tc>
          <w:tcPr>
            <w:tcW w:type="dxa" w:w="103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 1–3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AIOps live  ·  P3/P4 self-heal pilots  ·  GenAI QE framework  ·  AI dev sprints  ·  Quick-win automations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MTTR −20%  ·  Automation ROI begins  ·  QE 45%</w:t>
            </w:r>
          </w:p>
        </w:tc>
      </w:tr>
      <w:tr>
        <w:tc>
          <w:tcPr>
            <w:tcW w:type="dxa" w:w="140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2
Scale</w:t>
            </w:r>
          </w:p>
        </w:tc>
        <w:tc>
          <w:tcPr>
            <w:tcW w:type="dxa" w:w="103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 3–6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Agentic triage at scale  ·  Integration Hub Wave 1  ·  QE 60%  ·  DataOps monitoring  ·  AI dev across all pods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Auto-resolve &gt;50%  ·  Defect escape −40%  ·  $3–5M cumulative</w:t>
            </w:r>
          </w:p>
        </w:tc>
      </w:tr>
      <w:tr>
        <w:tc>
          <w:tcPr>
            <w:tcW w:type="dxa" w:w="140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3
Optimise</w:t>
            </w:r>
          </w:p>
        </w:tc>
        <w:tc>
          <w:tcPr>
            <w:tcW w:type="dxa" w:w="103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 6–12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Autonomous ops for common patterns  ·  QE 80%+  ·  Modernisation sprints  ·  Outcome governance live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Cost takeout $6–10M  ·  MTTR &lt;1.8 hrs  ·  99.9%+ availability</w:t>
            </w:r>
          </w:p>
        </w:tc>
      </w:tr>
      <w:tr>
        <w:tc>
          <w:tcPr>
            <w:tcW w:type="dxa" w:w="140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4
Transform</w:t>
            </w:r>
          </w:p>
        </w:tc>
        <w:tc>
          <w:tcPr>
            <w:tcW w:type="dxa" w:w="103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Year 1–2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Full autonomy  ·  Mainframe rehost/refactor  ·  Enterprise observability  ·  Co-invest pipeline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Structural cost takeout 40–50%  ·  Total value $12–18M+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KPI Framework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Value Area</w:t>
            </w:r>
          </w:p>
        </w:tc>
        <w:tc>
          <w:tcPr>
            <w:tcW w:type="dxa" w:w="337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KPIs Tracked</w:t>
            </w:r>
          </w:p>
        </w:tc>
        <w:tc>
          <w:tcPr>
            <w:tcW w:type="dxa" w:w="2246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Data Source</w:t>
            </w:r>
          </w:p>
        </w:tc>
        <w:tc>
          <w:tcPr>
            <w:tcW w:type="dxa" w:w="1872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Cadence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Operational Excellence</w:t>
            </w:r>
          </w:p>
        </w:tc>
        <w:tc>
          <w:tcPr>
            <w:tcW w:type="dxa" w:w="337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MTTR, availability, incident volume, auto-resolution %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ITSM + AIOps telemetry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Weekly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Cost &amp; Productivity</w:t>
            </w:r>
          </w:p>
        </w:tc>
        <w:tc>
          <w:tcPr>
            <w:tcW w:type="dxa" w:w="337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Automation ROI, demand reduction, delivery velocity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Finance + ITSM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Quality Engineering</w:t>
            </w:r>
          </w:p>
        </w:tc>
        <w:tc>
          <w:tcPr>
            <w:tcW w:type="dxa" w:w="337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Coverage, defect escape rate, regression time, MTTD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QE toolchain + CI/CD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Per sprint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Platform &amp; Modernisation</w:t>
            </w:r>
          </w:p>
        </w:tc>
        <w:tc>
          <w:tcPr>
            <w:tcW w:type="dxa" w:w="337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n-1 compliance, debt index, upgrade velocity, CVE status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CMDB + security scans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Business Outcomes</w:t>
            </w:r>
          </w:p>
        </w:tc>
        <w:tc>
          <w:tcPr>
            <w:tcW w:type="dxa" w:w="337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Claims cycle, enrollment time, first-call resolution, provider ASA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Domain dashboards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Monthly</w:t>
            </w:r>
          </w:p>
        </w:tc>
      </w:tr>
    </w:tbl>
    <w:p>
      <w:pPr>
        <w:sectPr>
          <w:headerReference w:type="default" r:id="rId21"/>
          <w:footerReference w:type="default" r:id="rId22"/>
          <w:type w:val="nextPage"/>
          <w:pgSz w:w="11906" w:h="16838" w:orient="portrait"/>
          <w:pgMar w:top="1224" w:right="1440" w:bottom="1080" w:left="1440" w:header="708" w:footer="708" w:gutter="0"/>
          <w:pgNumType/>
          <w:docGrid w:linePitch="360"/>
        </w:sectPr>
      </w:pPr>
    </w:p>
    <w:p>
      <w:pPr>
        <w:pBdr>
          <w:top w:val="single" w:color="0F62FE" w:sz="12" w:space="6"/>
        </w:pBdr>
        <w:spacing w:after="20" w:before="12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9.0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WHY IBM — AND WHY NOW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The depth, assets, and accountability to deliver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0"/>
          <w:szCs w:val="20"/>
        </w:rPr>
        <w:t xml:space="preserve">IBM’s ultimate accountability is not to a contract. It is to the 3.7 million members who rely on Horizon’s systems every day — the patient waiting for a prior auth, the provider navigating a claims dispute, the family enrolling in coverage for the first time.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What Makes IBM Different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Production-Grade Assets, Day 1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IBM AIOps, ICA, CareOps360, and GenAI Quality Engine are live at comparable payers today — not promised in a roadmap.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Deep Horizon Knowledge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IBM brings institutional knowledge of Horizon’s estate and change history, reducing transition risk to near-zero.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Healthcare Payer DNA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Claims, enrollment, prior auth, member services — IBM has modernised these for the nation’s largest payers.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Shared Risk Model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IBM commits to outcome-based SLAs. Targets missed trigger IBM remediation plans — not contract renegotiations.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Innovation at No Extra Cost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Innovation sprints, AI tooling, and accelerators are built into the base model. Transformation is not a separate invoice.</w:t>
      </w:r>
    </w:p>
    <w:p>
      <w:pPr>
        <w:spacing w:after="100" w:before="0"/>
      </w:pPr>
      <w:r>
        <w:t xml:space="preserve"/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16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IBM Scale</w:t>
            </w:r>
          </w:p>
        </w:tc>
        <w:tc>
          <w:tcPr>
            <w:tcW w:type="dxa" w:w="2160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Fact</w:t>
            </w:r>
          </w:p>
        </w:tc>
      </w:tr>
      <w:tr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AI &amp; Data Practitioners</w:t>
            </w:r>
          </w:p>
        </w:tc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20,000+ globally</w:t>
            </w:r>
          </w:p>
        </w:tc>
      </w:tr>
      <w:tr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Cloud &amp; Architecture Exp.</w:t>
            </w:r>
          </w:p>
        </w:tc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81,000+ IBM Consulting</w:t>
            </w:r>
          </w:p>
        </w:tc>
      </w:tr>
      <w:tr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AI/Analytics Engagements</w:t>
            </w:r>
          </w:p>
        </w:tc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40,000+ delivered</w:t>
            </w:r>
          </w:p>
        </w:tc>
      </w:tr>
      <w:tr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Top US Health Payers</w:t>
            </w:r>
          </w:p>
        </w:tc>
        <w:tc>
          <w:tcPr>
            <w:tcW w:type="dxa" w:w="216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9 of 10 served by IBM</w:t>
            </w:r>
          </w:p>
        </w:tc>
      </w:tr>
    </w:tbl>
    <w:p>
      <w:pPr>
        <w:spacing w:after="0" w:before="0"/>
      </w:pPr>
      <w:r>
        <w:br w:type="column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The Next Three Steps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Week 1–2: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Executive alignment session — Horizon leadership + IBM account team. Agree objectives, scope, and governance.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Week 2–4: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Phase 0 SOW agreed. Telemetry onboarding begins. Baseline discovery kicks off. Innovation council constituted.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Week 4: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9"/>
          <w:szCs w:val="19"/>
        </w:rPr>
        <w:t xml:space="preserve">Contractual milestone: Phase 0 live. IBM and Horizon operating as one team from Day 1.</w:t>
      </w:r>
    </w:p>
    <w:p>
      <w:pPr>
        <w:spacing w:after="100" w:before="0"/>
      </w:pPr>
      <w:r>
        <w:t xml:space="preserve"/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IBM vs. The Alternative</w:t>
      </w:r>
    </w:p>
    <w:tbl>
      <w:tblPr>
        <w:tblW w:type="dxa" w:w="432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426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Dimension</w:t>
            </w:r>
          </w:p>
        </w:tc>
        <w:tc>
          <w:tcPr>
            <w:tcW w:type="dxa" w:w="1426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Status Quo</w:t>
            </w:r>
          </w:p>
        </w:tc>
        <w:tc>
          <w:tcPr>
            <w:tcW w:type="dxa" w:w="1469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IBM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Model</w:t>
            </w:r>
          </w:p>
        </w:tc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Towers, reactive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Unified pods, AI-first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Dev</w:t>
            </w:r>
          </w:p>
        </w:tc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Manual pipelines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AI-assisted, +30%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Quality</w:t>
            </w:r>
          </w:p>
        </w:tc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End-stage testing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Shift-left, GenAI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Operations</w:t>
            </w:r>
          </w:p>
        </w:tc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Firefighting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Self-healing, 0-touch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Reporting</w:t>
            </w:r>
          </w:p>
        </w:tc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Activity metrics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Business outcomes</w:t>
            </w:r>
          </w:p>
        </w:tc>
      </w:tr>
      <w:tr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Risk</w:t>
            </w:r>
          </w:p>
        </w:tc>
        <w:tc>
          <w:tcPr>
            <w:tcW w:type="dxa" w:w="14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19"/>
                <w:szCs w:val="19"/>
              </w:rPr>
              <w:t xml:space="preserve">Vendor bears none</w:t>
            </w:r>
          </w:p>
        </w:tc>
        <w:tc>
          <w:tcPr>
            <w:tcW w:type="dxa" w:w="14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Shared, outcome SLAs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Bdr>
          <w:bottom w:val="single" w:color="0F62FE" w:sz="8" w:space="3"/>
        </w:pBdr>
        <w:spacing w:after="100" w:before="100"/>
      </w:pPr>
    </w:p>
    <w:p>
      <w:pPr>
        <w:spacing w:after="80" w:before="0"/>
      </w:pPr>
      <w:r>
        <w:t xml:space="preserve"/>
      </w:r>
    </w:p>
    <w:p>
      <w:pPr>
        <w:spacing w:after="80" w:before="80"/>
        <w:ind w:left="288" w:right="288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161616"/>
          <w:sz w:val="22"/>
          <w:szCs w:val="22"/>
        </w:rPr>
        <w:t xml:space="preserve">“IBM’s measure of success is not tickets closed or alerts silenced. It is the member who gets their answer faster, the provider who spends less time on administration, and the </w:t>
      </w:r>
      <w:r>
        <w:rPr>
          <w:rFonts w:ascii="Calibri" w:cs="Calibri" w:eastAsia="Calibri" w:hAnsi="Calibri"/>
          <w:b/>
          <w:bCs/>
          <w:i/>
          <w:iCs/>
          <w:color w:val="001141"/>
          <w:sz w:val="22"/>
          <w:szCs w:val="22"/>
        </w:rPr>
        <w:t xml:space="preserve">payer that directs every saved dollar back toward the care that matters.</w:t>
      </w:r>
      <w:r>
        <w:rPr>
          <w:rFonts w:ascii="Calibri" w:cs="Calibri" w:eastAsia="Calibri" w:hAnsi="Calibri"/>
          <w:b w:val="false"/>
          <w:bCs w:val="false"/>
          <w:i/>
          <w:iCs/>
          <w:color w:val="161616"/>
          <w:sz w:val="22"/>
          <w:szCs w:val="22"/>
        </w:rPr>
        <w:t xml:space="preserve"> That is why we are here.”</w:t>
      </w:r>
    </w:p>
    <w:p>
      <w:pPr>
        <w:spacing w:after="20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— IBM Consulting, Healthcare &amp; Payer Delivery  |  April 2026</w:t>
      </w:r>
    </w:p>
    <w:p>
      <w:pPr>
        <w:pBdr>
          <w:bottom w:val="single" w:color="E0E0E0" w:sz="2" w:space="3"/>
        </w:pBdr>
        <w:spacing w:after="80" w:before="80"/>
      </w:pP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8D8D8D"/>
          <w:sz w:val="15"/>
          <w:szCs w:val="15"/>
        </w:rPr>
        <w:t xml:space="preserve">© 2026 IBM Corporation. All rights reserved.  Confidential — prepared exclusively for Horizon Healthcare Services.  Ref: IBM-HZN-AMS-RFP-2026-CAS</w:t>
      </w:r>
    </w:p>
    <w:sectPr>
      <w:headerReference w:type="default" r:id="rId23"/>
      <w:footerReference w:type="default" r:id="rId24"/>
      <w:type w:val="nextPage"/>
      <w:pgSz w:w="11906" w:h="16838" w:orient="portrait"/>
      <w:pgMar w:top="1224" w:right="1440" w:bottom="1080" w:left="1440" w:header="708" w:footer="708" w:gutter="0"/>
      <w:pgNumType/>
      <w:cols w:space="720" w:num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|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—  CONFIDENTIAL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|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—  CONFIDENTIAL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|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—  CONFIDENTIAL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|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—  CONFIDENTIAL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|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—  CONFIDENTIAL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|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—  CONFIDENTIAL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|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—  CONFIDENTIAL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|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—  CONFIDENTIAL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|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—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IBM × Horizon BCBS — Application Delivery, Quality &amp; Operations Transformation</dc:title>
  <dc:creator>IBM Consulting</dc:creator>
  <cp:lastModifiedBy>Un-named</cp:lastModifiedBy>
  <cp:revision>1</cp:revision>
  <dcterms:created xsi:type="dcterms:W3CDTF">2026-04-16T04:32:45.260Z</dcterms:created>
  <dcterms:modified xsi:type="dcterms:W3CDTF">2026-04-16T04:32:45.262Z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