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jc w:val="right"/>
      </w:pPr>
      <w:r>
        <w:rPr>
          <w:rFonts w:ascii="IBM Plex Sans" w:cs="IBM Plex Sans" w:eastAsia="IBM Plex Sans" w:hAnsi="IBM Plex Sans"/>
          <w:b/>
          <w:bCs/>
          <w:caps/>
          <w:color w:val="0F62FE"/>
          <w:sz w:val="160"/>
          <w:szCs w:val="160"/>
        </w:rPr>
        <w:t xml:space="preserve">CONFIDENTIAL</w:t>
      </w:r>
    </w:p>
    <w:p>
      <w:pPr>
        <w:spacing w:after="0" w:before="0"/>
      </w:pPr>
      <w:r>
        <w:rPr>
          <w:sz w:val="800"/>
          <w:szCs w:val="800"/>
        </w:rPr>
        <w:t xml:space="preserve"/>
      </w:r>
    </w:p>
    <w:p>
      <w:pPr>
        <w:pBdr>
          <w:top w:val="single" w:color="0F62FE" w:sz="24" w:space="0"/>
        </w:pBdr>
        <w:spacing w:after="400" w:before="0"/>
      </w:pPr>
    </w:p>
    <w:p>
      <w:pPr>
        <w:spacing w:after="0" w:before="0"/>
      </w:pPr>
      <w:r>
        <w:rPr>
          <w:sz w:val="320"/>
          <w:szCs w:val="320"/>
        </w:rPr>
        <w:t xml:space="preserve"/>
      </w:r>
    </w:p>
    <w:p>
      <w:pPr>
        <w:spacing w:after="120" w:before="0"/>
      </w:pPr>
      <w:r>
        <w:rPr>
          <w:rFonts w:ascii="IBM Plex Sans" w:cs="IBM Plex Sans" w:eastAsia="IBM Plex Sans" w:hAnsi="IBM Plex Sans"/>
          <w:b/>
          <w:bCs/>
          <w:color w:val="0F62FE"/>
          <w:sz w:val="280"/>
          <w:szCs w:val="280"/>
        </w:rPr>
        <w:t xml:space="preserve">IBM × Horizon Blue Cross Blue Shield</w:t>
      </w:r>
    </w:p>
    <w:p>
      <w:pPr>
        <w:spacing w:after="480" w:before="0"/>
      </w:pPr>
      <w:r>
        <w:rPr>
          <w:rFonts w:ascii="IBM Plex Sans" w:cs="IBM Plex Sans" w:eastAsia="IBM Plex Sans" w:hAnsi="IBM Plex Sans"/>
          <w:b/>
          <w:bCs/>
          <w:color w:val="0F62FE"/>
          <w:sz w:val="280"/>
          <w:szCs w:val="280"/>
        </w:rPr>
        <w:t xml:space="preserve">of New Jersey</w:t>
      </w:r>
    </w:p>
    <w:p>
      <w:pPr>
        <w:spacing w:after="80" w:before="0"/>
      </w:pPr>
      <w:r>
        <w:rPr>
          <w:rFonts w:ascii="IBM Plex Sans" w:cs="IBM Plex Sans" w:eastAsia="IBM Plex Sans" w:hAnsi="IBM Plex Sans"/>
          <w:b/>
          <w:bCs/>
          <w:color w:val="001141"/>
          <w:sz w:val="720"/>
          <w:szCs w:val="720"/>
        </w:rPr>
        <w:t xml:space="preserve">AMS Transformation</w:t>
      </w:r>
    </w:p>
    <w:p>
      <w:pPr>
        <w:spacing w:after="640" w:before="0"/>
      </w:pPr>
      <w:r>
        <w:rPr>
          <w:rFonts w:ascii="IBM Plex Sans" w:cs="IBM Plex Sans" w:eastAsia="IBM Plex Sans" w:hAnsi="IBM Plex Sans"/>
          <w:b w:val="false"/>
          <w:bCs w:val="false"/>
          <w:color w:val="525252"/>
          <w:sz w:val="400"/>
          <w:szCs w:val="400"/>
        </w:rPr>
        <w:t xml:space="preserve">Executive Summary</w:t>
      </w:r>
    </w:p>
    <w:p>
      <w:pPr>
        <w:spacing w:after="0" w:before="0"/>
      </w:pPr>
      <w:r>
        <w:rPr>
          <w:sz w:val="400"/>
          <w:szCs w:val="400"/>
        </w:rPr>
        <w:t xml:space="preserve"/>
      </w:r>
    </w:p>
    <w:p>
      <w:pPr>
        <w:pBdr>
          <w:bottom w:val="single" w:color="0F62FE" w:sz="6" w:space="4"/>
        </w:pBdr>
        <w:spacing w:after="60" w:before="60"/>
      </w:pPr>
    </w:p>
    <w:p>
      <w:pPr>
        <w:spacing w:after="0" w:before="0"/>
      </w:pPr>
      <w:r>
        <w:rPr>
          <w:sz w:val="400"/>
          <w:szCs w:val="400"/>
        </w:rPr>
        <w:t xml:space="preserve"/>
      </w:r>
    </w:p>
    <w:p>
      <w:pPr>
        <w:spacing w:after="480" w:before="0"/>
        <w:ind w:left="431" w:right="431"/>
      </w:pPr>
      <w:r>
        <w:rPr>
          <w:rFonts w:ascii="IBM Plex Sans" w:cs="IBM Plex Sans" w:eastAsia="IBM Plex Sans" w:hAnsi="IBM Plex Sans"/>
          <w:i/>
          <w:iCs/>
          <w:color w:val="001D6C"/>
          <w:sz w:val="220"/>
          <w:szCs w:val="220"/>
        </w:rPr>
        <w:t xml:space="preserve">"IBM is not proposing a technology project — IBM is proposing a transformation partnership that embeds AI-driven intelligence into the operating model of Horizon, enabling a future-ready enterprise that is faster, smarter, and more resilient than today."</w:t>
      </w:r>
    </w:p>
    <w:p>
      <w:pPr>
        <w:spacing w:after="960" w:before="0"/>
        <w:jc w:val="right"/>
      </w:pPr>
      <w:r>
        <w:rPr>
          <w:rFonts w:ascii="IBM Plex Sans" w:cs="IBM Plex Sans" w:eastAsia="IBM Plex Sans" w:hAnsi="IBM Plex Sans"/>
          <w:b/>
          <w:bCs/>
          <w:color w:val="0F62FE"/>
          <w:sz w:val="190"/>
          <w:szCs w:val="190"/>
        </w:rPr>
        <w:t xml:space="preserve">— IBM Consulting, Healthcare &amp; Payer Delivery</w:t>
      </w:r>
    </w:p>
    <w:p>
      <w:pPr>
        <w:pBdr>
          <w:bottom w:val="single" w:color="0F62FE" w:sz="6" w:space="4"/>
        </w:pBdr>
        <w:spacing w:after="60" w:before="60"/>
      </w:pPr>
    </w:p>
    <w:p>
      <w:pPr>
        <w:spacing w:after="0" w:before="0"/>
      </w:pPr>
      <w:r>
        <w:rPr>
          <w:sz w:val="320"/>
          <w:szCs w:val="320"/>
        </w:rPr>
        <w:t xml:space="preserve"/>
      </w:r>
    </w:p>
    <w:p>
      <w:pPr>
        <w:spacing w:after="0" w:before="0"/>
      </w:pPr>
      <w:r>
        <w:rPr>
          <w:rFonts w:ascii="IBM Plex Sans" w:cs="IBM Plex Sans" w:eastAsia="IBM Plex Sans" w:hAnsi="IBM Plex Sans"/>
          <w:b/>
          <w:bCs/>
          <w:color w:val="001141"/>
          <w:sz w:val="190"/>
          <w:szCs w:val="190"/>
        </w:rPr>
        <w:t xml:space="preserve">Prepared for:</w:t>
      </w:r>
    </w:p>
    <w:p>
      <w:pPr>
        <w:spacing w:after="160" w:before="0"/>
      </w:pPr>
      <w:r>
        <w:rPr>
          <w:rFonts w:ascii="IBM Plex Sans" w:cs="IBM Plex Sans" w:eastAsia="IBM Plex Sans" w:hAnsi="IBM Plex Sans"/>
          <w:color w:val="161616"/>
          <w:sz w:val="210"/>
          <w:szCs w:val="210"/>
        </w:rPr>
        <w:t xml:space="preserve">Horizon Healthcare Services</w:t>
      </w:r>
    </w:p>
    <w:p>
      <w:pPr>
        <w:spacing w:after="0" w:before="0"/>
      </w:pPr>
      <w:r>
        <w:rPr>
          <w:rFonts w:ascii="IBM Plex Sans" w:cs="IBM Plex Sans" w:eastAsia="IBM Plex Sans" w:hAnsi="IBM Plex Sans"/>
          <w:b/>
          <w:bCs/>
          <w:color w:val="001141"/>
          <w:sz w:val="190"/>
          <w:szCs w:val="190"/>
        </w:rPr>
        <w:t xml:space="preserve">Submitted by:</w:t>
      </w:r>
    </w:p>
    <w:p>
      <w:pPr>
        <w:spacing w:after="160" w:before="0"/>
      </w:pPr>
      <w:r>
        <w:rPr>
          <w:rFonts w:ascii="IBM Plex Sans" w:cs="IBM Plex Sans" w:eastAsia="IBM Plex Sans" w:hAnsi="IBM Plex Sans"/>
          <w:color w:val="161616"/>
          <w:sz w:val="210"/>
          <w:szCs w:val="210"/>
        </w:rPr>
        <w:t xml:space="preserve">IBM Consulting — Healthcare &amp; Payer Delivery</w:t>
      </w:r>
    </w:p>
    <w:p>
      <w:pPr>
        <w:spacing w:after="0" w:before="0"/>
      </w:pPr>
      <w:r>
        <w:rPr>
          <w:rFonts w:ascii="IBM Plex Sans" w:cs="IBM Plex Sans" w:eastAsia="IBM Plex Sans" w:hAnsi="IBM Plex Sans"/>
          <w:b/>
          <w:bCs/>
          <w:color w:val="001141"/>
          <w:sz w:val="190"/>
          <w:szCs w:val="190"/>
        </w:rPr>
        <w:t xml:space="preserve">Date:</w:t>
      </w:r>
    </w:p>
    <w:p>
      <w:pPr>
        <w:spacing w:after="160" w:before="0"/>
      </w:pPr>
      <w:r>
        <w:rPr>
          <w:rFonts w:ascii="IBM Plex Sans" w:cs="IBM Plex Sans" w:eastAsia="IBM Plex Sans" w:hAnsi="IBM Plex Sans"/>
          <w:color w:val="161616"/>
          <w:sz w:val="210"/>
          <w:szCs w:val="210"/>
        </w:rPr>
        <w:t xml:space="preserve">April 2026</w:t>
      </w:r>
    </w:p>
    <w:p>
      <w:pPr>
        <w:spacing w:after="0" w:before="0"/>
      </w:pPr>
      <w:r>
        <w:rPr>
          <w:rFonts w:ascii="IBM Plex Sans" w:cs="IBM Plex Sans" w:eastAsia="IBM Plex Sans" w:hAnsi="IBM Plex Sans"/>
          <w:b/>
          <w:bCs/>
          <w:color w:val="001141"/>
          <w:sz w:val="190"/>
          <w:szCs w:val="190"/>
        </w:rPr>
        <w:t xml:space="preserve">Reference:</w:t>
      </w:r>
    </w:p>
    <w:p>
      <w:pPr>
        <w:spacing w:after="960" w:before="0"/>
      </w:pPr>
      <w:r>
        <w:rPr>
          <w:rFonts w:ascii="IBM Plex Sans" w:cs="IBM Plex Sans" w:eastAsia="IBM Plex Sans" w:hAnsi="IBM Plex Sans"/>
          <w:color w:val="161616"/>
          <w:sz w:val="210"/>
          <w:szCs w:val="210"/>
        </w:rPr>
        <w:t xml:space="preserve">IBM-HZN-AMS-RFP-2026-CAS</w:t>
      </w:r>
    </w:p>
    <w:p>
      <w:pPr>
        <w:spacing w:after="0" w:before="0"/>
      </w:pPr>
      <w:r>
        <w:rPr>
          <w:sz w:val="800"/>
          <w:szCs w:val="800"/>
        </w:rPr>
        <w:t xml:space="preserve"/>
      </w:r>
    </w:p>
    <w:p>
      <w:pPr>
        <w:spacing w:after="160" w:before="0"/>
      </w:pPr>
      <w:r>
        <w:rPr>
          <w:rFonts w:ascii="IBM Plex Sans" w:cs="IBM Plex Sans" w:eastAsia="IBM Plex Sans" w:hAnsi="IBM Plex Sans"/>
          <w:color w:val="525252"/>
          <w:sz w:val="180"/>
          <w:szCs w:val="180"/>
        </w:rPr>
        <w:t xml:space="preserve">Powered by  </w:t>
      </w:r>
      <w:r>
        <w:rPr>
          <w:rFonts w:ascii="IBM Plex Sans" w:cs="IBM Plex Sans" w:eastAsia="IBM Plex Sans" w:hAnsi="IBM Plex Sans"/>
          <w:b/>
          <w:bCs/>
          <w:color w:val="0F62FE"/>
          <w:sz w:val="180"/>
          <w:szCs w:val="180"/>
        </w:rPr>
        <w:t xml:space="preserve">CareOps360  ·  IBM AIOps  ·  IBM Consulting Advantage  ·  ICA</w:t>
      </w:r>
    </w:p>
    <w:p>
      <w:pPr>
        <w:spacing w:after="0" w:before="0"/>
      </w:pPr>
      <w:r>
        <w:rPr>
          <w:rFonts w:ascii="IBM Plex Sans" w:cs="IBM Plex Sans" w:eastAsia="IBM Plex Sans" w:hAnsi="IBM Plex Sans"/>
          <w:color w:val="525252"/>
          <w:sz w:val="160"/>
          <w:szCs w:val="160"/>
        </w:rPr>
        <w:t xml:space="preserve">© 2026 IBM Corporation. All rights reserved. This document is confidential and intended solely for Horizon Healthcare Services.</w:t>
      </w:r>
    </w:p>
    <w:p>
      <w:pPr>
        <w:spacing w:after="0" w:before="0"/>
      </w:pPr>
      <w:r>
        <w:br w:type="page"/>
      </w:r>
    </w:p>
    <w:p>
      <w:pPr>
        <w:sectPr>
          <w:pgSz w:w="11906" w:h="16838" w:orient="portrait"/>
          <w:pgMar w:top="2160" w:right="1440" w:bottom="1727" w:left="1440" w:header="708" w:footer="708" w:gutter="0"/>
          <w:pgNumType/>
          <w:docGrid w:linePitch="360"/>
        </w:sectPr>
      </w:pP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1.0  </w:t>
      </w:r>
      <w:r>
        <w:rPr>
          <w:rFonts w:ascii="IBM Plex Sans" w:cs="IBM Plex Sans" w:eastAsia="IBM Plex Sans" w:hAnsi="IBM Plex Sans"/>
          <w:b/>
          <w:bCs/>
          <w:color w:val="001141"/>
          <w:sz w:val="260"/>
          <w:szCs w:val="260"/>
        </w:rPr>
        <w:t xml:space="preserve">EXECUTIVE SUMMARY</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IBM proposes an AI-first operating model that shifts Horizon from reactive support to predictive, self-healing operations—delivering structural cost takeout, faster delivery, and measurable quality across all 500+ applications in scope.</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1.1  The Moment</w:t>
      </w:r>
    </w:p>
    <w:p>
      <w:pPr>
        <w:spacing w:after="60" w:before="60"/>
      </w:pPr>
      <w:r>
        <w:rPr>
          <w:rFonts w:ascii="IBM Plex Sans" w:cs="IBM Plex Sans" w:eastAsia="IBM Plex Sans" w:hAnsi="IBM Plex Sans"/>
          <w:color w:val="161616"/>
          <w:sz w:val="210"/>
          <w:szCs w:val="210"/>
        </w:rPr>
        <w:t xml:space="preserve">Horizon operates a complex portfolio of approximately 500 applications spanning enrollment, claims adjudication, member services, provider operations, and data platforms. Rising operational load, fragmented tower delivery, and manual processes increase cost and slow modernization. An AI-first, product-oriented operating model is required to deliver structural cost takeout while improving member and provider experience.</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1.2  What IBM Proposes</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Transition from reactive support to predictive, self-healing operations using IBM AIOps and Intelligent Cloud Automation (ICA).</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Integrate Application Management Services (AMS), Quality Engineering (QE), and Data Services into product-aligned pods with end-to-end ownership.</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Embed continuous innovation and modernization within steady-state delivery—delivered through a governed value pipeline, not separate projects.</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1.3  Executive Snapshot</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520"/>
            <w:tcBorders>
              <w:top w:val="single" w:color="0F62FE" w:sz="8"/>
              <w:left w:val="none"/>
              <w:bottom w:val="none"/>
              <w:right w:val="single" w:color="CCCCCC" w:sz="2"/>
            </w:tcBorders>
            <w:shd w:fill="EBF2FF" w:val="solid"/>
            <w:tcMar>
              <w:top w:type="dxa" w:w="120"/>
              <w:left w:type="dxa" w:w="80"/>
              <w:bottom w:type="dxa" w:w="120"/>
              <w:right w:type="dxa" w:w="80"/>
            </w:tcMar>
          </w:tcPr>
          <w:p>
            <w:pPr>
              <w:jc w:val="center"/>
            </w:pPr>
            <w:r>
              <w:rPr>
                <w:rFonts w:ascii="IBM Plex Sans" w:cs="IBM Plex Sans" w:eastAsia="IBM Plex Sans" w:hAnsi="IBM Plex Sans"/>
                <w:b/>
                <w:bCs/>
                <w:color w:val="0F62FE"/>
                <w:sz w:val="360"/>
                <w:szCs w:val="360"/>
              </w:rPr>
              <w:t xml:space="preserve">40–50%</w:t>
            </w:r>
          </w:p>
          <w:p>
            <w:pPr>
              <w:jc w:val="center"/>
            </w:pPr>
            <w:r>
              <w:rPr>
                <w:rFonts w:ascii="IBM Plex Sans" w:cs="IBM Plex Sans" w:eastAsia="IBM Plex Sans" w:hAnsi="IBM Plex Sans"/>
                <w:b/>
                <w:bCs/>
                <w:color w:val="001141"/>
                <w:sz w:val="180"/>
                <w:szCs w:val="180"/>
              </w:rPr>
              <w:t xml:space="preserve">Structural Cost Takeout</w:t>
            </w:r>
          </w:p>
          <w:p>
            <w:pPr>
              <w:jc w:val="center"/>
            </w:pPr>
            <w:r>
              <w:rPr>
                <w:rFonts w:ascii="IBM Plex Sans" w:cs="IBM Plex Sans" w:eastAsia="IBM Plex Sans" w:hAnsi="IBM Plex Sans"/>
                <w:color w:val="525252"/>
                <w:sz w:val="170"/>
                <w:szCs w:val="170"/>
              </w:rPr>
              <w:t xml:space="preserve">operational cost reduction</w:t>
            </w:r>
          </w:p>
        </w:tc>
        <w:tc>
          <w:tcPr>
            <w:tcW w:type="dxa" w:w="2520"/>
            <w:tcBorders>
              <w:top w:val="single" w:color="0F62FE" w:sz="8"/>
              <w:left w:val="single" w:color="CCCCCC" w:sz="2"/>
              <w:bottom w:val="none"/>
              <w:right w:val="single" w:color="CCCCCC" w:sz="2"/>
            </w:tcBorders>
            <w:shd w:fill="EBF2FF" w:val="solid"/>
            <w:tcMar>
              <w:top w:type="dxa" w:w="120"/>
              <w:left w:type="dxa" w:w="80"/>
              <w:bottom w:type="dxa" w:w="120"/>
              <w:right w:type="dxa" w:w="80"/>
            </w:tcMar>
          </w:tcPr>
          <w:p>
            <w:pPr>
              <w:jc w:val="center"/>
            </w:pPr>
            <w:r>
              <w:rPr>
                <w:rFonts w:ascii="IBM Plex Sans" w:cs="IBM Plex Sans" w:eastAsia="IBM Plex Sans" w:hAnsi="IBM Plex Sans"/>
                <w:b/>
                <w:bCs/>
                <w:color w:val="0F62FE"/>
                <w:sz w:val="360"/>
                <w:szCs w:val="360"/>
              </w:rPr>
              <w:t xml:space="preserve">25–40%</w:t>
            </w:r>
          </w:p>
          <w:p>
            <w:pPr>
              <w:jc w:val="center"/>
            </w:pPr>
            <w:r>
              <w:rPr>
                <w:rFonts w:ascii="IBM Plex Sans" w:cs="IBM Plex Sans" w:eastAsia="IBM Plex Sans" w:hAnsi="IBM Plex Sans"/>
                <w:b/>
                <w:bCs/>
                <w:color w:val="001141"/>
                <w:sz w:val="180"/>
                <w:szCs w:val="180"/>
              </w:rPr>
              <w:t xml:space="preserve">Speed to Value</w:t>
            </w:r>
          </w:p>
          <w:p>
            <w:pPr>
              <w:jc w:val="center"/>
            </w:pPr>
            <w:r>
              <w:rPr>
                <w:rFonts w:ascii="IBM Plex Sans" w:cs="IBM Plex Sans" w:eastAsia="IBM Plex Sans" w:hAnsi="IBM Plex Sans"/>
                <w:color w:val="525252"/>
                <w:sz w:val="170"/>
                <w:szCs w:val="170"/>
              </w:rPr>
              <w:t xml:space="preserve">time-to-market acceleration</w:t>
            </w:r>
          </w:p>
        </w:tc>
        <w:tc>
          <w:tcPr>
            <w:tcW w:type="dxa" w:w="2520"/>
            <w:tcBorders>
              <w:top w:val="single" w:color="0F62FE" w:sz="8"/>
              <w:left w:val="single" w:color="CCCCCC" w:sz="2"/>
              <w:bottom w:val="none"/>
              <w:right w:val="single" w:color="CCCCCC" w:sz="2"/>
            </w:tcBorders>
            <w:shd w:fill="EBF2FF" w:val="solid"/>
            <w:tcMar>
              <w:top w:type="dxa" w:w="120"/>
              <w:left w:type="dxa" w:w="80"/>
              <w:bottom w:type="dxa" w:w="120"/>
              <w:right w:type="dxa" w:w="80"/>
            </w:tcMar>
          </w:tcPr>
          <w:p>
            <w:pPr>
              <w:jc w:val="center"/>
            </w:pPr>
            <w:r>
              <w:rPr>
                <w:rFonts w:ascii="IBM Plex Sans" w:cs="IBM Plex Sans" w:eastAsia="IBM Plex Sans" w:hAnsi="IBM Plex Sans"/>
                <w:b/>
                <w:bCs/>
                <w:color w:val="0F62FE"/>
                <w:sz w:val="360"/>
                <w:szCs w:val="360"/>
              </w:rPr>
              <w:t xml:space="preserve">30%</w:t>
            </w:r>
          </w:p>
          <w:p>
            <w:pPr>
              <w:jc w:val="center"/>
            </w:pPr>
            <w:r>
              <w:rPr>
                <w:rFonts w:ascii="IBM Plex Sans" w:cs="IBM Plex Sans" w:eastAsia="IBM Plex Sans" w:hAnsi="IBM Plex Sans"/>
                <w:b/>
                <w:bCs/>
                <w:color w:val="001141"/>
                <w:sz w:val="180"/>
                <w:szCs w:val="180"/>
              </w:rPr>
              <w:t xml:space="preserve">Incident Reduction</w:t>
            </w:r>
          </w:p>
          <w:p>
            <w:pPr>
              <w:jc w:val="center"/>
            </w:pPr>
            <w:r>
              <w:rPr>
                <w:rFonts w:ascii="IBM Plex Sans" w:cs="IBM Plex Sans" w:eastAsia="IBM Plex Sans" w:hAnsi="IBM Plex Sans"/>
                <w:color w:val="525252"/>
                <w:sz w:val="170"/>
                <w:szCs w:val="170"/>
              </w:rPr>
              <w:t xml:space="preserve">improved availability</w:t>
            </w:r>
          </w:p>
        </w:tc>
        <w:tc>
          <w:tcPr>
            <w:tcW w:type="dxa" w:w="2520"/>
            <w:tcBorders>
              <w:top w:val="single" w:color="0F62FE" w:sz="8"/>
              <w:left w:val="single" w:color="CCCCCC" w:sz="2"/>
              <w:bottom w:val="none"/>
              <w:right w:val="none"/>
            </w:tcBorders>
            <w:shd w:fill="EBF2FF" w:val="solid"/>
            <w:tcMar>
              <w:top w:type="dxa" w:w="120"/>
              <w:left w:type="dxa" w:w="80"/>
              <w:bottom w:type="dxa" w:w="120"/>
              <w:right w:type="dxa" w:w="80"/>
            </w:tcMar>
          </w:tcPr>
          <w:p>
            <w:pPr>
              <w:jc w:val="center"/>
            </w:pPr>
            <w:r>
              <w:rPr>
                <w:rFonts w:ascii="IBM Plex Sans" w:cs="IBM Plex Sans" w:eastAsia="IBM Plex Sans" w:hAnsi="IBM Plex Sans"/>
                <w:b/>
                <w:bCs/>
                <w:color w:val="0F62FE"/>
                <w:sz w:val="360"/>
                <w:szCs w:val="360"/>
              </w:rPr>
              <w:t xml:space="preserve">30–50%</w:t>
            </w:r>
          </w:p>
          <w:p>
            <w:pPr>
              <w:jc w:val="center"/>
            </w:pPr>
            <w:r>
              <w:rPr>
                <w:rFonts w:ascii="IBM Plex Sans" w:cs="IBM Plex Sans" w:eastAsia="IBM Plex Sans" w:hAnsi="IBM Plex Sans"/>
                <w:b/>
                <w:bCs/>
                <w:color w:val="001141"/>
                <w:sz w:val="180"/>
                <w:szCs w:val="180"/>
              </w:rPr>
              <w:t xml:space="preserve">MTTR Reduction</w:t>
            </w:r>
          </w:p>
          <w:p>
            <w:pPr>
              <w:jc w:val="center"/>
            </w:pPr>
            <w:r>
              <w:rPr>
                <w:rFonts w:ascii="IBM Plex Sans" w:cs="IBM Plex Sans" w:eastAsia="IBM Plex Sans" w:hAnsi="IBM Plex Sans"/>
                <w:color w:val="525252"/>
                <w:sz w:val="170"/>
                <w:szCs w:val="170"/>
              </w:rPr>
              <w:t xml:space="preserve">target &lt;1.8 hour resolution</w:t>
            </w:r>
          </w:p>
        </w:tc>
      </w:tr>
    </w:tbl>
    <w:p>
      <w:pPr>
        <w:spacing w:after="0" w:before="0"/>
      </w:pPr>
      <w:r>
        <w:rPr>
          <w:sz w:val="80"/>
          <w:szCs w:val="80"/>
        </w:rPr>
        <w:t xml:space="preserve"/>
      </w:r>
    </w:p>
    <w:p>
      <w:pPr>
        <w:spacing w:after="80" w:before="40"/>
      </w:pPr>
      <w:r>
        <w:rPr>
          <w:rFonts w:ascii="IBM Plex Sans" w:cs="IBM Plex Sans" w:eastAsia="IBM Plex Sans" w:hAnsi="IBM Plex Sans"/>
          <w:i/>
          <w:iCs/>
          <w:color w:val="525252"/>
          <w:sz w:val="170"/>
          <w:szCs w:val="170"/>
        </w:rPr>
        <w:t xml:space="preserve">All targets are directional. Baselines established in Phase 0 and tracked continuously through executive dashboards.</w:t>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2.0  </w:t>
      </w:r>
      <w:r>
        <w:rPr>
          <w:rFonts w:ascii="IBM Plex Sans" w:cs="IBM Plex Sans" w:eastAsia="IBM Plex Sans" w:hAnsi="IBM Plex Sans"/>
          <w:b/>
          <w:bCs/>
          <w:color w:val="001141"/>
          <w:sz w:val="260"/>
          <w:szCs w:val="260"/>
        </w:rPr>
        <w:t xml:space="preserve">TRANSFORMATION OVERVIEW</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Transformation is embedded into steady-state delivery through an outcome-based governance model—compounding value across operations, engineering, and data. The approach aligns people, process, and platform: product-aligned pods own outcomes end-to-end; automation removes repetitive work; and executive visibility ensures progress is measured transparently.</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2.1  Six Core Tenets</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3024"/>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Tenet</w:t>
            </w:r>
          </w:p>
        </w:tc>
        <w:tc>
          <w:tcPr>
            <w:tcW w:type="dxa" w:w="7056"/>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Description</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AI-First Operating Model</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Embed AI in triage, diagnosis, resolution, test generation, and analytics to shift from reactive to predictive operations.</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Integrated Delivery</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Unified build + run pods across AMS, QE, and Data to reduce handoffs and accelerate change safely.</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Automation &amp; Self-Healing</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Noise reduction, auto-triage, auto-remediation, and runbook automation to eliminate recurring demand.</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Outcome-Driven Transformation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Apply ticket economics to remove demand; track business impact rather than activity metrics.</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Continuous Innovation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Modernization sprints and a governed value pipeline to deliver incremental improvements continuously.</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Zero-Disruption Transition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Risk-controlled onboarding and phased rollout leveraging existing Horizon knowledge to maintain continuity.</w:t>
            </w:r>
          </w:p>
        </w:tc>
      </w:tr>
    </w:tbl>
    <w:p>
      <w:pPr>
        <w:spacing w:after="0" w:before="0"/>
      </w:pPr>
      <w:r>
        <w:rPr>
          <w:sz w:val="160"/>
          <w:szCs w:val="160"/>
        </w:rPr>
        <w:t xml:space="preserve"/>
      </w:r>
    </w:p>
    <w:p>
      <w:pPr>
        <w:spacing w:after="60" w:before="160"/>
      </w:pPr>
      <w:r>
        <w:rPr>
          <w:rFonts w:ascii="IBM Plex Sans" w:cs="IBM Plex Sans" w:eastAsia="IBM Plex Sans" w:hAnsi="IBM Plex Sans"/>
          <w:b/>
          <w:bCs/>
          <w:color w:val="0F62FE"/>
          <w:sz w:val="210"/>
          <w:szCs w:val="210"/>
        </w:rPr>
        <w:t xml:space="preserve">2.2  Current State vs. 12-Month Targets</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3528"/>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Metric</w:t>
            </w:r>
          </w:p>
        </w:tc>
        <w:tc>
          <w:tcPr>
            <w:tcW w:type="dxa" w:w="2016"/>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Current (est.)</w:t>
            </w:r>
          </w:p>
        </w:tc>
        <w:tc>
          <w:tcPr>
            <w:tcW w:type="dxa" w:w="2721"/>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12-Month Target</w:t>
            </w:r>
          </w:p>
        </w:tc>
        <w:tc>
          <w:tcPr>
            <w:tcW w:type="dxa" w:w="1814"/>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Direction</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Test Automation Coverage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~25%</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80%+</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 3×</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Mean Time to Resolve (MTTR)</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&gt;4 hours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&lt;1.8 hours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 ~55%</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Defect Escape to Production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High / untracked</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65% reduction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P3/P4 Auto-Resolution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&lt;10%</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&gt;74%</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 ~7×</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Alert Noise per Shift</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Unfiltered high</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&gt;60% reduced</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System Availability</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~99.7%</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99.9%+</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98038"/>
                <w:sz w:val="190"/>
                <w:szCs w:val="190"/>
              </w:rPr>
              <w:t xml:space="preserve">↑</w:t>
            </w:r>
          </w:p>
        </w:tc>
      </w:tr>
    </w:tbl>
    <w:p>
      <w:pPr>
        <w:spacing w:after="0" w:before="0"/>
      </w:pPr>
      <w:r>
        <w:rPr>
          <w:sz w:val="80"/>
          <w:szCs w:val="80"/>
        </w:rPr>
        <w:t xml:space="preserve"/>
      </w:r>
    </w:p>
    <w:p>
      <w:pPr>
        <w:spacing w:after="0" w:before="0"/>
      </w:pPr>
      <w:r>
        <w:br w:type="page"/>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3.0  </w:t>
      </w:r>
      <w:r>
        <w:rPr>
          <w:rFonts w:ascii="IBM Plex Sans" w:cs="IBM Plex Sans" w:eastAsia="IBM Plex Sans" w:hAnsi="IBM Plex Sans"/>
          <w:b/>
          <w:bCs/>
          <w:color w:val="001141"/>
          <w:sz w:val="260"/>
          <w:szCs w:val="260"/>
        </w:rPr>
        <w:t xml:space="preserve">AIOPS &amp; AGENTIC AI OPERATIONS</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IBM's AIOps approach uses correlated telemetry (logs, metrics, traces, events) and operational history (tickets, changes, knowledge) to reduce alert noise, speed triage, and automate common resolutions. Learnings from production continuously feed automation runbooks and quality gates to prevent recurrence.</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3.1  Purpose-Built AI Agents</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225"/>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Agent Type</w:t>
            </w:r>
          </w:p>
        </w:tc>
        <w:tc>
          <w:tcPr>
            <w:tcW w:type="dxa" w:w="4233"/>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Function</w:t>
            </w:r>
          </w:p>
        </w:tc>
        <w:tc>
          <w:tcPr>
            <w:tcW w:type="dxa" w:w="2620"/>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Value Impact (dir.)</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Monitoring &amp; Detection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Correlation, grouping, anomaly detection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$2.5M–$3.5M</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Triage Agent</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Impact-aware routing and prioritization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$1.3M–$1.5M</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Root Cause &amp; Resolution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Diagnosis, runbook guidance, auto-remediation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$2.0M–$3.0M</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Knowledge &amp; Feedback</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Knowledge extraction, continuous learning</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$1.0M–$1.3M</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Impact Assessment &amp; Testing</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QE automation and validation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$1.2M–$2.0M</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Deployment Agents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Release automation and risk scoring</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$0.8M–$1.2M</w:t>
            </w:r>
          </w:p>
        </w:tc>
      </w:tr>
    </w:tbl>
    <w:p>
      <w:pPr>
        <w:spacing w:after="0" w:before="0"/>
      </w:pPr>
      <w:r>
        <w:rPr>
          <w:sz w:val="160"/>
          <w:szCs w:val="160"/>
        </w:rPr>
        <w:t xml:space="preserve"/>
      </w:r>
    </w:p>
    <w:p>
      <w:pPr>
        <w:spacing w:after="60" w:before="160"/>
      </w:pPr>
      <w:r>
        <w:rPr>
          <w:rFonts w:ascii="IBM Plex Sans" w:cs="IBM Plex Sans" w:eastAsia="IBM Plex Sans" w:hAnsi="IBM Plex Sans"/>
          <w:b/>
          <w:bCs/>
          <w:color w:val="0F62FE"/>
          <w:sz w:val="210"/>
          <w:szCs w:val="210"/>
        </w:rPr>
        <w:t xml:space="preserve">3.2  Expected Operational Impact</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&gt;60% alert noise reduction through correlation and de-duplication, improving engineer focus.</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&lt;1.8 hours MTTR target through intelligent routing, guided diagnostics, and auto-remediation.</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&gt;74% auto-resolution for P3/P4 incidents via self-heal runbooks and workflow automation.</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Closed-loop learning across Incident → Problem → Change to prevent recurrence and reduce demand over time.</w:t>
      </w:r>
    </w:p>
    <w:p>
      <w:pPr>
        <w:spacing w:after="0" w:before="0"/>
      </w:pPr>
      <w:r>
        <w:rPr>
          <w:sz w:val="80"/>
          <w:szCs w:val="80"/>
        </w:rPr>
        <w:t xml:space="preserve"/>
      </w:r>
    </w:p>
    <w:p>
      <w:pPr>
        <w:spacing w:after="0" w:before="0"/>
      </w:pPr>
      <w:r>
        <w:br w:type="page"/>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4.0  </w:t>
      </w:r>
      <w:r>
        <w:rPr>
          <w:rFonts w:ascii="IBM Plex Sans" w:cs="IBM Plex Sans" w:eastAsia="IBM Plex Sans" w:hAnsi="IBM Plex Sans"/>
          <w:b/>
          <w:bCs/>
          <w:color w:val="001141"/>
          <w:sz w:val="260"/>
          <w:szCs w:val="260"/>
        </w:rPr>
        <w:t xml:space="preserve">PLATFORM &amp; DATA MODERNIZATION</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This workstream modernizes how Horizon integrates, upgrades, and governs platforms—reducing technical debt, improving security posture, and enabling faster change with lower risk. Modernization is delivered as a value chain: standardize integration patterns, instrument for observability, automate operations, and report outcomes through governance.</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Integration modernization: Evolve from point-to-point and batch-heavy patterns to API-first and event-driven integration.</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Mainframe modernization (phased): API-wrap → rehost → refactor approach with parallel-run validation and risk gates.</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Technical debt governance (n-1 standard): Maintain stacks at n-1 versions with monthly compliance reporting and emergency patching for critical CVEs.</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4.1  Workstream Timeline</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822"/>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Workstream</w:t>
            </w:r>
          </w:p>
        </w:tc>
        <w:tc>
          <w:tcPr>
            <w:tcW w:type="dxa" w:w="4536"/>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Approach</w:t>
            </w:r>
          </w:p>
        </w:tc>
        <w:tc>
          <w:tcPr>
            <w:tcW w:type="dxa" w:w="2721"/>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Timeline</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Integration Hub</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API-first hub; event streaming</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Year 1</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Mainframe Workloads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API-wrap → rehost → refactor</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Year 1–2</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Application Portfolio (~500 apps)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Assess, rationalize and modernize through ongoing sprints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Ongoing</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DataOps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Pipeline intelligence + quality engine</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Months 3–12</w:t>
            </w:r>
          </w:p>
        </w:tc>
      </w:tr>
    </w:tbl>
    <w:p>
      <w:pPr>
        <w:spacing w:after="0" w:before="0"/>
      </w:pPr>
      <w:r>
        <w:rPr>
          <w:sz w:val="80"/>
          <w:szCs w:val="80"/>
        </w:rPr>
        <w:t xml:space="preserve"/>
      </w:r>
    </w:p>
    <w:p>
      <w:pPr>
        <w:spacing w:after="0" w:before="0"/>
      </w:pPr>
      <w:r>
        <w:br w:type="page"/>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5.0  </w:t>
      </w:r>
      <w:r>
        <w:rPr>
          <w:rFonts w:ascii="IBM Plex Sans" w:cs="IBM Plex Sans" w:eastAsia="IBM Plex Sans" w:hAnsi="IBM Plex Sans"/>
          <w:b/>
          <w:bCs/>
          <w:color w:val="001141"/>
          <w:sz w:val="260"/>
          <w:szCs w:val="260"/>
        </w:rPr>
        <w:t xml:space="preserve">QUALITY ENGINEERING</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Quality is treated as an always-on control system. GenAI-assisted test generation and maintenance increases automation coverage; shift-left quality gates catch defects earlier; and release readiness is measured continuously to reduce production escapes and incident volumes. Production insights feed back into the test suite so coverage improves with every release.</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5.1  Quality Progression Targets</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3024"/>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Quality Metric</w:t>
            </w:r>
          </w:p>
        </w:tc>
        <w:tc>
          <w:tcPr>
            <w:tcW w:type="dxa" w:w="1814"/>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Current</w:t>
            </w:r>
          </w:p>
        </w:tc>
        <w:tc>
          <w:tcPr>
            <w:tcW w:type="dxa" w:w="2520"/>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6-Month Target</w:t>
            </w:r>
          </w:p>
        </w:tc>
        <w:tc>
          <w:tcPr>
            <w:tcW w:type="dxa" w:w="2721"/>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12-Month Target</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Automation Coverage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~25%</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55%</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80%+</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Defect Escape to Production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High</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40% reduction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65% reduction</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Regression Cycle Time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Multi-day</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50% faster</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70% faster</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Mean Time to Detect (MTTD)</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&gt;2 hours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&lt;30 minutes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0F62FE"/>
                <w:sz w:val="190"/>
                <w:szCs w:val="190"/>
              </w:rPr>
              <w:t xml:space="preserve">&lt;15 minutes</w:t>
            </w:r>
          </w:p>
        </w:tc>
      </w:tr>
    </w:tbl>
    <w:p>
      <w:pPr>
        <w:spacing w:after="0" w:before="0"/>
      </w:pPr>
      <w:r>
        <w:rPr>
          <w:sz w:val="80"/>
          <w:szCs w:val="80"/>
        </w:rPr>
        <w:t xml:space="preserve"/>
      </w:r>
    </w:p>
    <w:p>
      <w:pPr>
        <w:spacing w:after="0" w:before="0"/>
      </w:pPr>
      <w:r>
        <w:br w:type="page"/>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6.0  </w:t>
      </w:r>
      <w:r>
        <w:rPr>
          <w:rFonts w:ascii="IBM Plex Sans" w:cs="IBM Plex Sans" w:eastAsia="IBM Plex Sans" w:hAnsi="IBM Plex Sans"/>
          <w:b/>
          <w:bCs/>
          <w:color w:val="001141"/>
          <w:sz w:val="260"/>
          <w:szCs w:val="260"/>
        </w:rPr>
        <w:t xml:space="preserve">PHASED ROADMAP &amp; GOVERNANCE</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The transformation follows a structured, risk-controlled journey from stabilization to autonomous operations. Each phase builds on the last—compounding value with every release while protecting operational continuity.</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6.1  Phased Delivery Roadmap</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016"/>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Phase</w:t>
            </w:r>
          </w:p>
        </w:tc>
        <w:tc>
          <w:tcPr>
            <w:tcW w:type="dxa" w:w="1814"/>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Timeframe</w:t>
            </w:r>
          </w:p>
        </w:tc>
        <w:tc>
          <w:tcPr>
            <w:tcW w:type="dxa" w:w="6249"/>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Key Deliverables</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Phase 0 — Foundation</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0–8 weeks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Baselines and discovery; transition plan; initial telemetry onboarding and AI enablement</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Phase 1 — Ignite</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1–3 months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Initial AIOps deployment; QE automation framework; innovation council; quick-win automations</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Phase 2 — Scale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3–6 months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Expand self-heal; agentic triage live; integration modernization pilots; DataOps monitoring expanded</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Phase 3 — Optimize</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6–12 months</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Autonomous ops for common incidents; advanced QE gates; continuous modernization sprints; outcome reporting</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Phase 4 — Transform</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12–24 months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Broader autonomy; platform modernization milestones; enterprise observability; co-invest opportunities</w:t>
            </w:r>
          </w:p>
        </w:tc>
      </w:tr>
    </w:tbl>
    <w:p>
      <w:pPr>
        <w:spacing w:after="0" w:before="0"/>
      </w:pPr>
      <w:r>
        <w:rPr>
          <w:sz w:val="160"/>
          <w:szCs w:val="160"/>
        </w:rPr>
        <w:t xml:space="preserve"/>
      </w:r>
    </w:p>
    <w:p>
      <w:pPr>
        <w:spacing w:after="60" w:before="160"/>
      </w:pPr>
      <w:r>
        <w:rPr>
          <w:rFonts w:ascii="IBM Plex Sans" w:cs="IBM Plex Sans" w:eastAsia="IBM Plex Sans" w:hAnsi="IBM Plex Sans"/>
          <w:b/>
          <w:bCs/>
          <w:color w:val="0F62FE"/>
          <w:sz w:val="210"/>
          <w:szCs w:val="210"/>
        </w:rPr>
        <w:t xml:space="preserve">6.2  KPI Framework</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2822"/>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Value Area</w:t>
            </w:r>
          </w:p>
        </w:tc>
        <w:tc>
          <w:tcPr>
            <w:tcW w:type="dxa" w:w="3830"/>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Primary KPIs</w:t>
            </w:r>
          </w:p>
        </w:tc>
        <w:tc>
          <w:tcPr>
            <w:tcW w:type="dxa" w:w="3427"/>
            <w:tcBorders>
              <w:top w:val="single" w:color="0F62FE" w:sz="2"/>
              <w:left w:val="single" w:color="0F62FE" w:sz="2"/>
              <w:bottom w:val="single" w:color="0F62FE" w:sz="2"/>
              <w:right w:val="single" w:color="0F62FE" w:sz="2"/>
            </w:tcBorders>
            <w:shd w:fill="001141" w:val="solid"/>
            <w:tcMar>
              <w:top w:type="dxa" w:w="60"/>
              <w:left w:type="dxa" w:w="100"/>
              <w:bottom w:type="dxa" w:w="60"/>
              <w:right w:type="dxa" w:w="100"/>
            </w:tcMar>
          </w:tcPr>
          <w:p>
            <w:pPr>
              <w:spacing w:after="60" w:before="60"/>
            </w:pPr>
            <w:r>
              <w:rPr>
                <w:rFonts w:ascii="IBM Plex Sans" w:cs="IBM Plex Sans" w:eastAsia="IBM Plex Sans" w:hAnsi="IBM Plex Sans"/>
                <w:b/>
                <w:bCs/>
                <w:color w:val="FFFFFF"/>
                <w:sz w:val="190"/>
                <w:szCs w:val="190"/>
              </w:rPr>
              <w:t xml:space="preserve">Measurement Source</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Operational Excellence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MTTR, incident volume, availability</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ITSM + monitoring + AIOps telemetry</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Automation &amp; Self-Heal</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Auto-resolution %, self-heal count, noise reduction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ICA/AIOps telemetry</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Quality Engineering</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Automation coverage, defect leakage, regression time</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QE toolchain + CI/CD</w:t>
            </w:r>
          </w:p>
        </w:tc>
      </w:tr>
      <w:tr>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Modernization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Upgrade velocity, n-1 compliance %, tech debt burndown</w:t>
            </w:r>
          </w:p>
        </w:tc>
        <w:tc>
          <w:tcPr>
            <w:tcBorders>
              <w:top w:val="single" w:color="E0E0E0" w:sz="2"/>
              <w:left w:val="single" w:color="E0E0E0" w:sz="2"/>
              <w:bottom w:val="single" w:color="E0E0E0" w:sz="2"/>
              <w:right w:val="single" w:color="E0E0E0" w:sz="2"/>
            </w:tcBorders>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Roadmap + CMDB + security scans</w:t>
            </w:r>
          </w:p>
        </w:tc>
      </w:tr>
      <w:tr>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bCs/>
                <w:color w:val="161616"/>
                <w:sz w:val="190"/>
                <w:szCs w:val="190"/>
              </w:rPr>
              <w:t xml:space="preserve">Business Outcomes</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Claims cycle time, enrollment time-to-good, ASA/FCR</w:t>
            </w:r>
          </w:p>
        </w:tc>
        <w:tc>
          <w:tcPr>
            <w:tcBorders>
              <w:top w:val="single" w:color="E0E0E0" w:sz="2"/>
              <w:left w:val="single" w:color="E0E0E0" w:sz="2"/>
              <w:bottom w:val="single" w:color="E0E0E0" w:sz="2"/>
              <w:right w:val="single" w:color="E0E0E0" w:sz="2"/>
            </w:tcBorders>
            <w:shd w:fill="F7FAFF" w:val="solid"/>
            <w:tcMar>
              <w:top w:type="dxa" w:w="60"/>
              <w:left w:type="dxa" w:w="100"/>
              <w:bottom w:type="dxa" w:w="60"/>
              <w:right w:type="dxa" w:w="100"/>
            </w:tcMar>
          </w:tcPr>
          <w:p>
            <w:pPr>
              <w:spacing w:after="60" w:before="60"/>
              <w:jc w:val="left"/>
            </w:pPr>
            <w:r>
              <w:rPr>
                <w:rFonts w:ascii="IBM Plex Sans" w:cs="IBM Plex Sans" w:eastAsia="IBM Plex Sans" w:hAnsi="IBM Plex Sans"/>
                <w:b w:val="false"/>
                <w:bCs w:val="false"/>
                <w:color w:val="161616"/>
                <w:sz w:val="190"/>
                <w:szCs w:val="190"/>
              </w:rPr>
              <w:t xml:space="preserve">Ops domain dashboards</w:t>
            </w:r>
          </w:p>
        </w:tc>
      </w:tr>
    </w:tbl>
    <w:p>
      <w:pPr>
        <w:spacing w:after="0" w:before="0"/>
      </w:pPr>
      <w:r>
        <w:rPr>
          <w:sz w:val="120"/>
          <w:szCs w:val="120"/>
        </w:rPr>
        <w:t xml:space="preserve"/>
      </w:r>
    </w:p>
    <w:p>
      <w:pPr>
        <w:spacing w:after="60" w:before="60"/>
      </w:pPr>
      <w:r>
        <w:rPr>
          <w:rFonts w:ascii="IBM Plex Sans" w:cs="IBM Plex Sans" w:eastAsia="IBM Plex Sans" w:hAnsi="IBM Plex Sans"/>
          <w:color w:val="161616"/>
          <w:sz w:val="210"/>
          <w:szCs w:val="210"/>
        </w:rPr>
        <w:t xml:space="preserve">Reporting is transparent: operational dashboards are reviewed monthly, and executive outcomes are reviewed quarterly. A continuous improvement loop ensures production insights feed both QE and automation backlogs.</w:t>
      </w:r>
    </w:p>
    <w:p>
      <w:pPr>
        <w:spacing w:after="0" w:before="0"/>
      </w:pPr>
      <w:r>
        <w:rPr>
          <w:sz w:val="80"/>
          <w:szCs w:val="80"/>
        </w:rPr>
        <w:t xml:space="preserve"/>
      </w:r>
    </w:p>
    <w:p>
      <w:pPr>
        <w:spacing w:after="0" w:before="0"/>
      </w:pPr>
      <w:r>
        <w:br w:type="page"/>
      </w:r>
    </w:p>
    <w:p>
      <w:pPr>
        <w:pBdr>
          <w:top w:val="single" w:color="0F62FE" w:sz="12" w:space="6"/>
        </w:pBdr>
        <w:spacing w:after="0" w:before="320"/>
      </w:pPr>
    </w:p>
    <w:p>
      <w:pPr>
        <w:spacing w:after="100" w:before="40"/>
      </w:pPr>
      <w:r>
        <w:rPr>
          <w:rFonts w:ascii="IBM Plex Sans" w:cs="IBM Plex Sans" w:eastAsia="IBM Plex Sans" w:hAnsi="IBM Plex Sans"/>
          <w:b/>
          <w:bCs/>
          <w:color w:val="0F62FE"/>
          <w:sz w:val="180"/>
          <w:szCs w:val="180"/>
        </w:rPr>
        <w:t xml:space="preserve">7.0  </w:t>
      </w:r>
      <w:r>
        <w:rPr>
          <w:rFonts w:ascii="IBM Plex Sans" w:cs="IBM Plex Sans" w:eastAsia="IBM Plex Sans" w:hAnsi="IBM Plex Sans"/>
          <w:b/>
          <w:bCs/>
          <w:color w:val="001141"/>
          <w:sz w:val="260"/>
          <w:szCs w:val="260"/>
        </w:rPr>
        <w:t xml:space="preserve">WHY IBM</w:t>
      </w:r>
    </w:p>
    <w:p>
      <w:pPr>
        <w:spacing w:after="0" w:before="0"/>
      </w:pPr>
      <w:r>
        <w:rPr>
          <w:sz w:val="80"/>
          <w:szCs w:val="80"/>
        </w:rPr>
        <w:t xml:space="preserve"/>
      </w:r>
    </w:p>
    <w:p>
      <w:pPr>
        <w:spacing w:after="60" w:before="60"/>
      </w:pPr>
      <w:r>
        <w:rPr>
          <w:rFonts w:ascii="IBM Plex Sans" w:cs="IBM Plex Sans" w:eastAsia="IBM Plex Sans" w:hAnsi="IBM Plex Sans"/>
          <w:color w:val="161616"/>
          <w:sz w:val="210"/>
          <w:szCs w:val="210"/>
        </w:rPr>
        <w:t xml:space="preserve">IBM brings deep institutional knowledge, healthcare payer expertise, and proven delivery at scale. Our platform assets are production-grade—not proofs-of-concept—and our governance model aligns teams to measurable outcomes.</w:t>
      </w:r>
    </w:p>
    <w:p>
      <w:pPr>
        <w:spacing w:after="0" w:before="0"/>
      </w:pPr>
      <w:r>
        <w:rPr>
          <w:sz w:val="120"/>
          <w:szCs w:val="120"/>
        </w:rPr>
        <w:t xml:space="preserve"/>
      </w:r>
    </w:p>
    <w:p>
      <w:pPr>
        <w:spacing w:after="60" w:before="160"/>
      </w:pPr>
      <w:r>
        <w:rPr>
          <w:rFonts w:ascii="IBM Plex Sans" w:cs="IBM Plex Sans" w:eastAsia="IBM Plex Sans" w:hAnsi="IBM Plex Sans"/>
          <w:b/>
          <w:bCs/>
          <w:color w:val="0F62FE"/>
          <w:sz w:val="210"/>
          <w:szCs w:val="210"/>
        </w:rPr>
        <w:t xml:space="preserve">7.1  IBM Differentiators</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Deep Horizon institutional knowledge and proven delivery execution across the full application estate.</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Production-grade assets — AIOps, ICA, CareOps360, IBM Consulting Advantage — aligned to enterprise governance from Day 1.</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Healthcare payer domain expertise with compliance-first delivery covering claims, enrollment, and member services.</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Outcome-based accountability with committed SLAs tied to measurable business outcomes and transparent monthly reporting.</w:t>
      </w:r>
    </w:p>
    <w:p>
      <w:pPr>
        <w:pStyle w:val="ListParagraph"/>
        <w:numPr>
          <w:ilvl w:val="0"/>
          <w:numId w:val="1"/>
        </w:numPr>
        <w:spacing w:after="40" w:before="40"/>
      </w:pPr>
      <w:r>
        <w:t xml:space="preserve"/>
      </w:r>
      <w:r>
        <w:rPr>
          <w:rFonts w:ascii="IBM Plex Sans" w:cs="IBM Plex Sans" w:eastAsia="IBM Plex Sans" w:hAnsi="IBM Plex Sans"/>
          <w:color w:val="161616"/>
          <w:sz w:val="210"/>
          <w:szCs w:val="210"/>
        </w:rPr>
        <w:t xml:space="preserve">Global delivery network with 24×7 coverage, local leadership engagement, and dedicated Horizon squads.</w:t>
      </w:r>
    </w:p>
    <w:p>
      <w:pPr>
        <w:spacing w:after="0" w:before="0"/>
      </w:pPr>
      <w:r>
        <w:rPr>
          <w:sz w:val="160"/>
          <w:szCs w:val="160"/>
        </w:rPr>
        <w:t xml:space="preserve"/>
      </w:r>
    </w:p>
    <w:p>
      <w:pPr>
        <w:spacing w:after="60" w:before="160"/>
      </w:pPr>
      <w:r>
        <w:rPr>
          <w:rFonts w:ascii="IBM Plex Sans" w:cs="IBM Plex Sans" w:eastAsia="IBM Plex Sans" w:hAnsi="IBM Plex Sans"/>
          <w:b/>
          <w:bCs/>
          <w:color w:val="0F62FE"/>
          <w:sz w:val="210"/>
          <w:szCs w:val="210"/>
        </w:rPr>
        <w:t xml:space="preserve">7.2  IBM at Scale — Behind This Proposal</w:t>
      </w:r>
    </w:p>
    <w:p>
      <w:pPr>
        <w:spacing w:after="0" w:before="0"/>
      </w:pPr>
      <w:r>
        <w:rPr>
          <w:sz w:val="80"/>
          <w:szCs w:val="8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520"/>
            <w:tcBorders>
              <w:top w:val="single" w:color="0F62FE" w:sz="8"/>
              <w:left w:val="none"/>
              <w:bottom w:val="none"/>
              <w:right w:val="single" w:color="CCCCCC" w:sz="2"/>
            </w:tcBorders>
            <w:shd w:fill="EBF2FF" w:val="solid"/>
            <w:tcMar>
              <w:top w:type="dxa" w:w="140"/>
              <w:left w:type="dxa" w:w="80"/>
              <w:bottom w:type="dxa" w:w="140"/>
              <w:right w:type="dxa" w:w="80"/>
            </w:tcMar>
          </w:tcPr>
          <w:p>
            <w:pPr>
              <w:jc w:val="center"/>
            </w:pPr>
            <w:r>
              <w:rPr>
                <w:rFonts w:ascii="IBM Plex Sans" w:cs="IBM Plex Sans" w:eastAsia="IBM Plex Sans" w:hAnsi="IBM Plex Sans"/>
                <w:b/>
                <w:bCs/>
                <w:color w:val="0F62FE"/>
                <w:sz w:val="400"/>
                <w:szCs w:val="400"/>
              </w:rPr>
              <w:t xml:space="preserve">20,000+</w:t>
            </w:r>
          </w:p>
          <w:p>
            <w:pPr>
              <w:jc w:val="center"/>
            </w:pPr>
            <w:r>
              <w:rPr>
                <w:rFonts w:ascii="IBM Plex Sans" w:cs="IBM Plex Sans" w:eastAsia="IBM Plex Sans" w:hAnsi="IBM Plex Sans"/>
                <w:b/>
                <w:bCs/>
                <w:color w:val="001141"/>
                <w:sz w:val="180"/>
                <w:szCs w:val="180"/>
              </w:rPr>
              <w:t xml:space="preserve">AI &amp; Data Practitioners</w:t>
            </w:r>
          </w:p>
        </w:tc>
        <w:tc>
          <w:tcPr>
            <w:tcW w:type="dxa" w:w="2520"/>
            <w:tcBorders>
              <w:top w:val="single" w:color="0F62FE" w:sz="8"/>
              <w:left w:val="single" w:color="CCCCCC" w:sz="2"/>
              <w:bottom w:val="none"/>
              <w:right w:val="single" w:color="CCCCCC" w:sz="2"/>
            </w:tcBorders>
            <w:shd w:fill="EBF2FF" w:val="solid"/>
            <w:tcMar>
              <w:top w:type="dxa" w:w="140"/>
              <w:left w:type="dxa" w:w="80"/>
              <w:bottom w:type="dxa" w:w="140"/>
              <w:right w:type="dxa" w:w="80"/>
            </w:tcMar>
          </w:tcPr>
          <w:p>
            <w:pPr>
              <w:jc w:val="center"/>
            </w:pPr>
            <w:r>
              <w:rPr>
                <w:rFonts w:ascii="IBM Plex Sans" w:cs="IBM Plex Sans" w:eastAsia="IBM Plex Sans" w:hAnsi="IBM Plex Sans"/>
                <w:b/>
                <w:bCs/>
                <w:color w:val="0F62FE"/>
                <w:sz w:val="400"/>
                <w:szCs w:val="400"/>
              </w:rPr>
              <w:t xml:space="preserve">81,000+</w:t>
            </w:r>
          </w:p>
          <w:p>
            <w:pPr>
              <w:jc w:val="center"/>
            </w:pPr>
            <w:r>
              <w:rPr>
                <w:rFonts w:ascii="IBM Plex Sans" w:cs="IBM Plex Sans" w:eastAsia="IBM Plex Sans" w:hAnsi="IBM Plex Sans"/>
                <w:b/>
                <w:bCs/>
                <w:color w:val="001141"/>
                <w:sz w:val="180"/>
                <w:szCs w:val="180"/>
              </w:rPr>
              <w:t xml:space="preserve">Cloud &amp; Architecture Experts</w:t>
            </w:r>
          </w:p>
        </w:tc>
        <w:tc>
          <w:tcPr>
            <w:tcW w:type="dxa" w:w="2520"/>
            <w:tcBorders>
              <w:top w:val="single" w:color="0F62FE" w:sz="8"/>
              <w:left w:val="single" w:color="CCCCCC" w:sz="2"/>
              <w:bottom w:val="none"/>
              <w:right w:val="single" w:color="CCCCCC" w:sz="2"/>
            </w:tcBorders>
            <w:shd w:fill="EBF2FF" w:val="solid"/>
            <w:tcMar>
              <w:top w:type="dxa" w:w="140"/>
              <w:left w:type="dxa" w:w="80"/>
              <w:bottom w:type="dxa" w:w="140"/>
              <w:right w:type="dxa" w:w="80"/>
            </w:tcMar>
          </w:tcPr>
          <w:p>
            <w:pPr>
              <w:jc w:val="center"/>
            </w:pPr>
            <w:r>
              <w:rPr>
                <w:rFonts w:ascii="IBM Plex Sans" w:cs="IBM Plex Sans" w:eastAsia="IBM Plex Sans" w:hAnsi="IBM Plex Sans"/>
                <w:b/>
                <w:bCs/>
                <w:color w:val="0F62FE"/>
                <w:sz w:val="400"/>
                <w:szCs w:val="400"/>
              </w:rPr>
              <w:t xml:space="preserve">40,000+</w:t>
            </w:r>
          </w:p>
          <w:p>
            <w:pPr>
              <w:jc w:val="center"/>
            </w:pPr>
            <w:r>
              <w:rPr>
                <w:rFonts w:ascii="IBM Plex Sans" w:cs="IBM Plex Sans" w:eastAsia="IBM Plex Sans" w:hAnsi="IBM Plex Sans"/>
                <w:b/>
                <w:bCs/>
                <w:color w:val="001141"/>
                <w:sz w:val="180"/>
                <w:szCs w:val="180"/>
              </w:rPr>
              <w:t xml:space="preserve">AI/Analytics Engagements</w:t>
            </w:r>
          </w:p>
        </w:tc>
        <w:tc>
          <w:tcPr>
            <w:tcW w:type="dxa" w:w="2520"/>
            <w:tcBorders>
              <w:top w:val="single" w:color="0F62FE" w:sz="8"/>
              <w:left w:val="single" w:color="CCCCCC" w:sz="2"/>
              <w:bottom w:val="none"/>
              <w:right w:val="none"/>
            </w:tcBorders>
            <w:shd w:fill="EBF2FF" w:val="solid"/>
            <w:tcMar>
              <w:top w:type="dxa" w:w="140"/>
              <w:left w:type="dxa" w:w="80"/>
              <w:bottom w:type="dxa" w:w="140"/>
              <w:right w:type="dxa" w:w="80"/>
            </w:tcMar>
          </w:tcPr>
          <w:p>
            <w:pPr>
              <w:jc w:val="center"/>
            </w:pPr>
            <w:r>
              <w:rPr>
                <w:rFonts w:ascii="IBM Plex Sans" w:cs="IBM Plex Sans" w:eastAsia="IBM Plex Sans" w:hAnsi="IBM Plex Sans"/>
                <w:b/>
                <w:bCs/>
                <w:color w:val="0F62FE"/>
                <w:sz w:val="400"/>
                <w:szCs w:val="400"/>
              </w:rPr>
              <w:t xml:space="preserve">15,000+</w:t>
            </w:r>
          </w:p>
          <w:p>
            <w:pPr>
              <w:jc w:val="center"/>
            </w:pPr>
            <w:r>
              <w:rPr>
                <w:rFonts w:ascii="IBM Plex Sans" w:cs="IBM Plex Sans" w:eastAsia="IBM Plex Sans" w:hAnsi="IBM Plex Sans"/>
                <w:b/>
                <w:bCs/>
                <w:color w:val="001141"/>
                <w:sz w:val="180"/>
                <w:szCs w:val="180"/>
              </w:rPr>
              <w:t xml:space="preserve">Delivery Resources across 40 Global Centres</w:t>
            </w:r>
          </w:p>
        </w:tc>
      </w:tr>
    </w:tbl>
    <w:p>
      <w:pPr>
        <w:spacing w:after="0" w:before="0"/>
      </w:pPr>
      <w:r>
        <w:rPr>
          <w:sz w:val="200"/>
          <w:szCs w:val="200"/>
        </w:rPr>
        <w:t xml:space="preserve"/>
      </w:r>
    </w:p>
    <w:p>
      <w:pPr>
        <w:pBdr>
          <w:bottom w:val="single" w:color="0F62FE" w:sz="6" w:space="4"/>
        </w:pBdr>
        <w:spacing w:after="60" w:before="60"/>
      </w:pPr>
    </w:p>
    <w:p>
      <w:pPr>
        <w:spacing w:after="0" w:before="0"/>
      </w:pPr>
      <w:r>
        <w:rPr>
          <w:sz w:val="120"/>
          <w:szCs w:val="120"/>
        </w:rPr>
        <w:t xml:space="preserve"/>
      </w:r>
    </w:p>
    <w:p>
      <w:pPr>
        <w:spacing w:after="80" w:before="80"/>
        <w:ind w:left="431" w:right="431"/>
      </w:pPr>
      <w:r>
        <w:rPr>
          <w:rFonts w:ascii="IBM Plex Sans" w:cs="IBM Plex Sans" w:eastAsia="IBM Plex Sans" w:hAnsi="IBM Plex Sans"/>
          <w:i/>
          <w:iCs/>
          <w:color w:val="161616"/>
          <w:sz w:val="210"/>
          <w:szCs w:val="210"/>
        </w:rPr>
        <w:t xml:space="preserve">IBM's commitment to Horizon is not measured in tickets resolved or servers managed — it is measured in </w:t>
      </w:r>
      <w:r>
        <w:rPr>
          <w:rFonts w:ascii="IBM Plex Sans" w:cs="IBM Plex Sans" w:eastAsia="IBM Plex Sans" w:hAnsi="IBM Plex Sans"/>
          <w:b/>
          <w:bCs/>
          <w:i/>
          <w:iCs/>
          <w:color w:val="001141"/>
          <w:sz w:val="210"/>
          <w:szCs w:val="210"/>
        </w:rPr>
        <w:t xml:space="preserve">business outcomes delivered</w:t>
      </w:r>
      <w:r>
        <w:rPr>
          <w:rFonts w:ascii="IBM Plex Sans" w:cs="IBM Plex Sans" w:eastAsia="IBM Plex Sans" w:hAnsi="IBM Plex Sans"/>
          <w:i/>
          <w:iCs/>
          <w:color w:val="161616"/>
          <w:sz w:val="210"/>
          <w:szCs w:val="210"/>
        </w:rPr>
        <w:t xml:space="preserve">. Every initiative in this proposal is connected to a measurable result — and every result is owned.</w:t>
      </w:r>
    </w:p>
    <w:p>
      <w:pPr>
        <w:spacing w:after="0" w:before="0"/>
      </w:pPr>
      <w:r>
        <w:rPr>
          <w:sz w:val="160"/>
          <w:szCs w:val="160"/>
        </w:rPr>
        <w:t xml:space="preserve"/>
      </w:r>
    </w:p>
    <w:p>
      <w:pPr>
        <w:spacing w:after="0" w:before="40"/>
        <w:jc w:val="center"/>
      </w:pPr>
      <w:r>
        <w:rPr>
          <w:rFonts w:ascii="IBM Plex Sans" w:cs="IBM Plex Sans" w:eastAsia="IBM Plex Sans" w:hAnsi="IBM Plex Sans"/>
          <w:color w:val="525252"/>
          <w:sz w:val="160"/>
          <w:szCs w:val="160"/>
        </w:rPr>
        <w:t xml:space="preserve">© 2026 IBM Corporation. All rights reserved. Confidential — prepared exclusively for Horizon Healthcare Services. Ref: IBM-HZN-AMS-RFP-2026-CAS</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IBM Plex Sans" w:cs="IBM Plex Sans" w:eastAsia="IBM Plex Sans" w:hAnsi="IBM Plex Sans"/>
        <w:color w:val="525252"/>
        <w:sz w:val="160"/>
        <w:szCs w:val="160"/>
      </w:rPr>
      <w:t xml:space="preserve">© 2026 IBM Corporation   </w:t>
    </w:r>
    <w:r>
      <w:rPr>
        <w:rFonts w:ascii="IBM Plex Sans" w:cs="IBM Plex Sans" w:eastAsia="IBM Plex Sans" w:hAnsi="IBM Plex Sans"/>
        <w:color w:val="525252"/>
        <w:sz w:val="160"/>
        <w:szCs w:val="160"/>
      </w:rPr>
      <w:t xml:space="preserve">Page </w:t>
    </w:r>
    <w:r>
      <w:rPr>
        <w:rFonts w:ascii="IBM Plex Sans" w:cs="IBM Plex Sans" w:eastAsia="IBM Plex Sans" w:hAnsi="IBM Plex Sans"/>
        <w:color w:val="525252"/>
        <w:sz w:val="160"/>
        <w:szCs w:val="16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IBM Plex Sans" w:cs="IBM Plex Sans" w:eastAsia="IBM Plex Sans" w:hAnsi="IBM Plex Sans"/>
        <w:color w:val="525252"/>
        <w:sz w:val="170"/>
        <w:szCs w:val="170"/>
      </w:rPr>
      <w:t xml:space="preserve">IBM × Horizon BCBS — AMS Transformation Executive Summary</w:t>
    </w:r>
    <w:r>
      <w:rPr>
        <w:rFonts w:ascii="IBM Plex Sans" w:cs="IBM Plex Sans" w:eastAsia="IBM Plex Sans" w:hAnsi="IBM Plex Sans"/>
        <w:b/>
        <w:bCs/>
        <w:color w:val="0F62FE"/>
        <w:sz w:val="170"/>
        <w:szCs w:val="170"/>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0"/>
        <w:szCs w:val="21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 Horizon BCBS — AMS Transformation Executive Summary</dc:title>
  <dc:creator>IBM Consulting</dc:creator>
  <dc:description>Confidential — April 2026</dc:description>
  <cp:lastModifiedBy>Un-named</cp:lastModifiedBy>
  <cp:revision>1</cp:revision>
  <dcterms:created xsi:type="dcterms:W3CDTF">2026-04-16T03:22:20.729Z</dcterms:created>
  <dcterms:modified xsi:type="dcterms:W3CDTF">2026-04-16T03:22:20.730Z</dcterms:modified>
</cp:coreProperties>
</file>

<file path=docProps/custom.xml><?xml version="1.0" encoding="utf-8"?>
<Properties xmlns="http://schemas.openxmlformats.org/officeDocument/2006/custom-properties" xmlns:vt="http://schemas.openxmlformats.org/officeDocument/2006/docPropsVTypes"/>
</file>