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clear"/>
        <w:spacing w:after="240" w:before="240"/>
      </w:pPr>
      <w:r>
        <w:rPr>
          <w:rFonts w:ascii="Calibri" w:cs="Calibri" w:eastAsia="Calibri" w:hAnsi="Calibri"/>
          <w:b/>
          <w:bCs/>
          <w:i w:val="false"/>
          <w:iCs w:val="false"/>
          <w:color w:val="FFFFFF"/>
          <w:sz w:val="17"/>
          <w:szCs w:val="17"/>
        </w:rPr>
        <w:t xml:space="preserve">  IBM CONSULTING   |   HEALTHCARE &amp; PAYER DELIVERY   |   AMS PRACTICE</w:t>
      </w:r>
    </w:p>
    <w:p>
      <w:pPr>
        <w:shd w:fill="0F62FE" w:val="clear"/>
        <w:spacing w:after="40" w:before="0"/>
      </w:pPr>
    </w:p>
    <w:p>
      <w:pPr>
        <w:spacing w:after="800" w:before="0"/>
      </w:pPr>
      <w:r>
        <w:rPr>
          <w:rFonts w:ascii="Calibri" w:cs="Calibri" w:eastAsia="Calibri" w:hAnsi="Calibri"/>
          <w:sz w:val="8"/>
          <w:szCs w:val="8"/>
        </w:rPr>
        <w:t xml:space="preserve"/>
      </w:r>
    </w:p>
    <w:p>
      <w:pPr>
        <w:spacing w:after="120" w:before="0"/>
        <w:ind w:left="1100" w:right="0"/>
      </w:pPr>
      <w:r>
        <w:rPr>
          <w:rFonts w:ascii="Calibri" w:cs="Calibri" w:eastAsia="Calibri" w:hAnsi="Calibri"/>
          <w:b/>
          <w:bCs/>
          <w:i w:val="false"/>
          <w:iCs w:val="false"/>
          <w:color w:val="0F62FE"/>
          <w:sz w:val="44"/>
          <w:szCs w:val="44"/>
        </w:rPr>
        <w:t xml:space="preserve">AI-FIRST  ·  AGENTIC BY CORE</w:t>
      </w:r>
    </w:p>
    <w:p>
      <w:pPr>
        <w:spacing w:after="0" w:before="0"/>
        <w:ind w:left="1584"/>
      </w:pPr>
      <w:r>
        <w:rPr>
          <w:rFonts w:ascii="Calibri" w:cs="Calibri" w:eastAsia="Calibri" w:hAnsi="Calibri"/>
          <w:b/>
          <w:bCs/>
          <w:i w:val="false"/>
          <w:iCs w:val="false"/>
          <w:color w:val="001141"/>
          <w:sz w:val="72"/>
          <w:szCs w:val="72"/>
        </w:rPr>
        <w:t xml:space="preserve">Application Development,</w:t>
      </w:r>
    </w:p>
    <w:p>
      <w:pPr>
        <w:spacing w:after="0" w:before="0"/>
        <w:ind w:left="1584"/>
      </w:pPr>
      <w:r>
        <w:rPr>
          <w:rFonts w:ascii="Calibri" w:cs="Calibri" w:eastAsia="Calibri" w:hAnsi="Calibri"/>
          <w:b/>
          <w:bCs/>
          <w:i w:val="false"/>
          <w:iCs w:val="false"/>
          <w:color w:val="001141"/>
          <w:sz w:val="72"/>
          <w:szCs w:val="72"/>
        </w:rPr>
        <w:t xml:space="preserve">Maintenance &amp;</w:t>
      </w:r>
    </w:p>
    <w:p>
      <w:pPr>
        <w:spacing w:after="200" w:before="0"/>
        <w:ind w:left="1584"/>
      </w:pPr>
      <w:r>
        <w:rPr>
          <w:rFonts w:ascii="Calibri" w:cs="Calibri" w:eastAsia="Calibri" w:hAnsi="Calibri"/>
          <w:b/>
          <w:bCs/>
          <w:i w:val="false"/>
          <w:iCs w:val="false"/>
          <w:color w:val="0F62FE"/>
          <w:sz w:val="72"/>
          <w:szCs w:val="72"/>
        </w:rPr>
        <w:t xml:space="preserve">Quality Engineering</w:t>
      </w:r>
    </w:p>
    <w:p>
      <w:pPr>
        <w:spacing w:after="80" w:before="0"/>
        <w:ind w:left="1100" w:right="0"/>
      </w:pPr>
      <w:r>
        <w:rPr>
          <w:rFonts w:ascii="Calibri" w:cs="Calibri" w:eastAsia="Calibri" w:hAnsi="Calibri"/>
          <w:b w:val="false"/>
          <w:bCs w:val="false"/>
          <w:i/>
          <w:iCs/>
          <w:color w:val="8D8D8D"/>
          <w:sz w:val="26"/>
          <w:szCs w:val="26"/>
        </w:rPr>
        <w:t xml:space="preserve">An Executive Summary for Horizon BCBS Leadership</w:t>
      </w:r>
    </w:p>
    <w:p>
      <w:pPr>
        <w:spacing w:after="600" w:before="0"/>
        <w:ind w:left="1100" w:right="0"/>
      </w:pPr>
      <w:r>
        <w:rPr>
          <w:rFonts w:ascii="Calibri" w:cs="Calibri" w:eastAsia="Calibri" w:hAnsi="Calibri"/>
          <w:b w:val="false"/>
          <w:bCs w:val="false"/>
          <w:i/>
          <w:iCs/>
          <w:color w:val="525252"/>
          <w:sz w:val="22"/>
          <w:szCs w:val="22"/>
        </w:rPr>
        <w:t xml:space="preserve">Where Every Line of Code, Every Test, and Every Resolved Incident
Is Measured by the Member It Serves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4118"/>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20" w:before="0"/>
            </w:pPr>
            <w:r>
              <w:rPr>
                <w:rFonts w:ascii="Calibri" w:cs="Calibri" w:eastAsia="Calibri" w:hAnsi="Calibri"/>
                <w:b/>
                <w:bCs/>
                <w:i w:val="false"/>
                <w:iCs w:val="false"/>
                <w:color w:val="001141"/>
                <w:sz w:val="19"/>
                <w:szCs w:val="19"/>
              </w:rPr>
              <w:t xml:space="preserve">Submitted by:</w:t>
            </w:r>
          </w:p>
          <w:p>
            <w:pPr>
              <w:spacing w:after="0" w:before="0"/>
            </w:pPr>
            <w:r>
              <w:rPr>
                <w:rFonts w:ascii="Calibri" w:cs="Calibri" w:eastAsia="Calibri" w:hAnsi="Calibri"/>
                <w:b w:val="false"/>
                <w:bCs w:val="false"/>
                <w:i w:val="false"/>
                <w:iCs w:val="false"/>
                <w:color w:val="525252"/>
                <w:sz w:val="19"/>
                <w:szCs w:val="19"/>
              </w:rPr>
              <w:t xml:space="preserve">IBM Consulting — Healthcare &amp; Payer Delivery</w:t>
            </w:r>
          </w:p>
        </w:tc>
        <w:tc>
          <w:tcPr>
            <w:tcW w:type="dxa" w:w="524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20" w:before="0"/>
            </w:pPr>
            <w:r>
              <w:rPr>
                <w:rFonts w:ascii="Calibri" w:cs="Calibri" w:eastAsia="Calibri" w:hAnsi="Calibri"/>
                <w:b/>
                <w:bCs/>
                <w:i w:val="false"/>
                <w:iCs w:val="false"/>
                <w:color w:val="001141"/>
                <w:sz w:val="19"/>
                <w:szCs w:val="19"/>
              </w:rPr>
              <w:t xml:space="preserve">Submitted to:</w:t>
            </w:r>
          </w:p>
          <w:p>
            <w:pPr>
              <w:spacing w:after="0" w:before="0"/>
            </w:pPr>
            <w:r>
              <w:rPr>
                <w:rFonts w:ascii="Calibri" w:cs="Calibri" w:eastAsia="Calibri" w:hAnsi="Calibri"/>
                <w:b w:val="false"/>
                <w:bCs w:val="false"/>
                <w:i w:val="false"/>
                <w:iCs w:val="false"/>
                <w:color w:val="525252"/>
                <w:sz w:val="19"/>
                <w:szCs w:val="19"/>
              </w:rPr>
              <w:t xml:space="preserve">Horizon BCBS — Executive Leadership &amp; Technology Office</w:t>
            </w:r>
          </w:p>
        </w:tc>
      </w:tr>
    </w:tbl>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tblGrid>
      <w:tr>
        <w:tc>
          <w:tcPr>
            <w:tcW w:type="dxa" w:w="9360"/>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b w:val="false"/>
                <w:bCs w:val="false"/>
                <w:i w:val="false"/>
                <w:iCs w:val="false"/>
                <w:color w:val="8D8D8D"/>
                <w:sz w:val="18"/>
                <w:szCs w:val="18"/>
              </w:rPr>
              <w:t xml:space="preserve">Confidential  |  April 2026  |  Ref: IBM-HZN-AMS-RFP-2026-CAS</w:t>
            </w:r>
          </w:p>
        </w:tc>
      </w:tr>
    </w:tbl>
    <w:p>
      <w:pPr>
        <w:spacing w:after="840" w:before="0"/>
      </w:pPr>
      <w:r>
        <w:rPr>
          <w:rFonts w:ascii="Calibri" w:cs="Calibri" w:eastAsia="Calibri" w:hAnsi="Calibri"/>
          <w:sz w:val="8"/>
          <w:szCs w:val="8"/>
        </w:rPr>
        <w:t xml:space="preserve"/>
      </w:r>
    </w:p>
    <w:p>
      <w:pPr>
        <w:shd w:fill="001141" w:val="clear"/>
        <w:spacing w:after="80" w:before="80"/>
      </w:pPr>
      <w:r>
        <w:rPr>
          <w:rFonts w:ascii="Calibri" w:cs="Calibri" w:eastAsia="Calibri" w:hAnsi="Calibri"/>
          <w:b w:val="false"/>
          <w:bCs w:val="false"/>
          <w:i w:val="false"/>
          <w:iCs w:val="false"/>
          <w:color w:val="FFFFFF"/>
          <w:sz w:val="16"/>
          <w:szCs w:val="16"/>
        </w:rPr>
        <w:t xml:space="preserve">  Powered by CareOps360  ·  IBM AIOps  ·  IBM Consulting Advantage  ·  HIPAA Compliant  ·  © 2026 IBM Corporation</w:t>
      </w:r>
    </w:p>
    <w:p>
      <w:pPr>
        <w:sectPr>
          <w:pgSz w:w="11906" w:h="16838" w:orient="portrait"/>
          <w:pgMar w:top="0" w:right="0" w:bottom="0" w:left="0" w:header="708" w:footer="708" w:gutter="0"/>
          <w:pgNumType/>
          <w:docGrid w:linePitch="360"/>
        </w:sectPr>
      </w:pPr>
    </w:p>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01  </w:t>
      </w:r>
      <w:r>
        <w:rPr>
          <w:rFonts w:ascii="Calibri" w:cs="Calibri" w:eastAsia="Calibri" w:hAnsi="Calibri"/>
          <w:b/>
          <w:bCs/>
          <w:i w:val="false"/>
          <w:iCs w:val="false"/>
          <w:color w:val="001141"/>
          <w:sz w:val="32"/>
          <w:szCs w:val="32"/>
        </w:rPr>
        <w:t xml:space="preserve">Executive Summary</w:t>
      </w:r>
    </w:p>
    <w:p>
      <w:pPr>
        <w:spacing w:after="120" w:before="0"/>
      </w:pPr>
      <w:r>
        <w:rPr>
          <w:rFonts w:ascii="Calibri" w:cs="Calibri" w:eastAsia="Calibri" w:hAnsi="Calibri"/>
          <w:b w:val="false"/>
          <w:bCs w:val="false"/>
          <w:i/>
          <w:iCs/>
          <w:color w:val="8D8D8D"/>
          <w:sz w:val="19"/>
          <w:szCs w:val="19"/>
        </w:rPr>
        <w:t xml:space="preserve">AI-First, Member-Centred Transformation of Application Management Services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“A mother enrolling her newborn should not wait five days because two systems failed to sync. A provider submitting a prior auth should not chase a fax. IBM is here to make those moments disappear.”</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The Moment</w:t>
            </w:r>
          </w:p>
          <w:p>
            <w:pPr>
              <w:spacing w:after="80" w:before="0"/>
            </w:pPr>
            <w:r>
              <w:rPr>
                <w:rFonts w:ascii="Calibri" w:cs="Calibri" w:eastAsia="Calibri" w:hAnsi="Calibri"/>
                <w:b w:val="false"/>
                <w:bCs w:val="false"/>
                <w:i w:val="false"/>
                <w:iCs w:val="false"/>
                <w:color w:val="525252"/>
                <w:sz w:val="20"/>
                <w:szCs w:val="20"/>
              </w:rPr>
              <w:t xml:space="preserve">Horizon BCBS manages ~1,000 applications spanning enrollment, claims, member services, provider operations, and data platforms. The incumbent model — reactive, labor-intensive, fragmented — cannot meet Horizon’s growth objectives or the expectations of its 3.7 million members.</w:t>
            </w:r>
          </w:p>
          <w:p>
            <w:pPr>
              <w:spacing w:after="80" w:before="0"/>
            </w:pPr>
            <w:r>
              <w:rPr>
                <w:rFonts w:ascii="Calibri" w:cs="Calibri" w:eastAsia="Calibri" w:hAnsi="Calibri"/>
                <w:b w:val="false"/>
                <w:bCs w:val="false"/>
                <w:i w:val="false"/>
                <w:iCs w:val="false"/>
                <w:color w:val="525252"/>
                <w:sz w:val="20"/>
                <w:szCs w:val="20"/>
              </w:rPr>
              <w:t xml:space="preserve">Horizon needs a fundamentally different operating model — one where AI is the engine, quality is continuous, delivery is zero-touch, and every metric connects to a member, a provider, or a patient.</w:t>
            </w:r>
          </w:p>
          <w:p>
            <w:pPr>
              <w:spacing w:after="60" w:before="80"/>
            </w:pPr>
            <w:r>
              <w:rPr>
                <w:rFonts w:ascii="Calibri" w:cs="Calibri" w:eastAsia="Calibri" w:hAnsi="Calibri"/>
                <w:b/>
                <w:bCs/>
                <w:i w:val="false"/>
                <w:iCs w:val="false"/>
                <w:color w:val="001141"/>
                <w:sz w:val="22"/>
                <w:szCs w:val="22"/>
              </w:rPr>
              <w:t xml:space="preserve">What IBM Proposes</w:t>
            </w:r>
          </w:p>
          <w:p>
            <w:pPr>
              <w:spacing w:after="80" w:before="0"/>
            </w:pPr>
            <w:r>
              <w:rPr>
                <w:rFonts w:ascii="Calibri" w:cs="Calibri" w:eastAsia="Calibri" w:hAnsi="Calibri"/>
                <w:b w:val="false"/>
                <w:bCs w:val="false"/>
                <w:i w:val="false"/>
                <w:iCs w:val="false"/>
                <w:color w:val="525252"/>
                <w:sz w:val="20"/>
                <w:szCs w:val="20"/>
              </w:rPr>
              <w:t xml:space="preserve">A structured transition from reactive support to a predictive, self-healing, AI-first operating model — delivered through IBM’s Assets, Assistants &amp; Accelerators framework and governed through outcome-based accountability that ties IBM’s performance directly to Horizon’s business results.</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Five Strategic Commitments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AI-First Operating Model — AI across every layer of dev, quality, and operations. Built in, not bolted 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Tech Arbitrage over Labor Arbitrage — Cost compression through automation, not headcount.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Outcome-Based Delivery — SLAs tied to business outcomes. IBM carries the delivery risk.</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Zero-Disruption Transition — No production disruption. No member impact. No learning curve.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by Core — AI agents that detect, triage, diagnose, resolve, and learn autonomously.</w:t>
            </w:r>
          </w:p>
          <w:p>
            <w:pPr>
              <w:spacing w:after="60" w:before="80"/>
            </w:pPr>
            <w:r>
              <w:rPr>
                <w:rFonts w:ascii="Calibri" w:cs="Calibri" w:eastAsia="Calibri" w:hAnsi="Calibri"/>
                <w:b/>
                <w:bCs/>
                <w:i w:val="false"/>
                <w:iCs w:val="false"/>
                <w:color w:val="001141"/>
                <w:sz w:val="22"/>
                <w:szCs w:val="22"/>
              </w:rPr>
              <w:t xml:space="preserve">IBM’s Scale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20,000+ AI practitioners  ·  81,000+ cloud experts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40,000+ AI engagements  ·  9 of top 10 US health payers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Client-0 AI programme saved IBM ~$3.4B USD</w:t>
            </w:r>
          </w:p>
        </w:tc>
      </w:tr>
    </w:tbl>
    <w:p>
      <w:pPr>
        <w:spacing w:after="16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in Scope</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Day 1</w:t>
            </w:r>
          </w:p>
          <w:p>
            <w:pPr>
              <w:spacing w:after="120" w:before="0"/>
              <w:jc w:val="center"/>
            </w:pPr>
            <w:r>
              <w:rPr>
                <w:rFonts w:ascii="Calibri" w:cs="Calibri" w:eastAsia="Calibri" w:hAnsi="Calibri"/>
                <w:b/>
                <w:bCs/>
                <w:i w:val="false"/>
                <w:iCs w:val="false"/>
                <w:color w:val="001141"/>
                <w:sz w:val="17"/>
                <w:szCs w:val="17"/>
              </w:rPr>
              <w:t xml:space="preserve">Efficiencies &amp; Cost Takeout</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24×7</w:t>
            </w:r>
          </w:p>
          <w:p>
            <w:pPr>
              <w:spacing w:after="120" w:before="0"/>
              <w:jc w:val="center"/>
            </w:pPr>
            <w:r>
              <w:rPr>
                <w:rFonts w:ascii="Calibri" w:cs="Calibri" w:eastAsia="Calibri" w:hAnsi="Calibri"/>
                <w:b/>
                <w:bCs/>
                <w:i w:val="false"/>
                <w:iCs w:val="false"/>
                <w:color w:val="001141"/>
                <w:sz w:val="17"/>
                <w:szCs w:val="17"/>
              </w:rPr>
              <w:t xml:space="preserve">Global AIOps Coverage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AI-First</w:t>
            </w:r>
          </w:p>
          <w:p>
            <w:pPr>
              <w:spacing w:after="120" w:before="0"/>
              <w:jc w:val="center"/>
            </w:pPr>
            <w:r>
              <w:rPr>
                <w:rFonts w:ascii="Calibri" w:cs="Calibri" w:eastAsia="Calibri" w:hAnsi="Calibri"/>
                <w:b/>
                <w:bCs/>
                <w:i w:val="false"/>
                <w:iCs w:val="false"/>
                <w:color w:val="001141"/>
                <w:sz w:val="17"/>
                <w:szCs w:val="17"/>
              </w:rPr>
              <w:t xml:space="preserve">Agentic by Core</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02  </w:t>
      </w:r>
      <w:r>
        <w:rPr>
          <w:rFonts w:ascii="Calibri" w:cs="Calibri" w:eastAsia="Calibri" w:hAnsi="Calibri"/>
          <w:b/>
          <w:bCs/>
          <w:i w:val="false"/>
          <w:iCs w:val="false"/>
          <w:color w:val="001141"/>
          <w:sz w:val="32"/>
          <w:szCs w:val="32"/>
        </w:rPr>
        <w:t xml:space="preserve">The Delivery Imperative</w:t>
      </w:r>
    </w:p>
    <w:p>
      <w:pPr>
        <w:spacing w:after="120" w:before="0"/>
      </w:pPr>
      <w:r>
        <w:rPr>
          <w:rFonts w:ascii="Calibri" w:cs="Calibri" w:eastAsia="Calibri" w:hAnsi="Calibri"/>
          <w:b w:val="false"/>
          <w:bCs w:val="false"/>
          <w:i/>
          <w:iCs/>
          <w:color w:val="8D8D8D"/>
          <w:sz w:val="19"/>
          <w:szCs w:val="19"/>
        </w:rPr>
        <w:t xml:space="preserve">Why Horizon Needs a New Operating Model — and Why Now</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question is not whether Horizon can afford to transform. It is whether Horizon can afford not to — when every delayed claim is a member who loses trust, and every manual process is a cost that compounds.”</w:t>
      </w:r>
    </w:p>
    <w:p>
      <w:pPr>
        <w:spacing w:after="100" w:before="0"/>
        <w:jc w:val="right"/>
      </w:pPr>
      <w:r>
        <w:rPr>
          <w:rFonts w:ascii="Calibri" w:cs="Calibri" w:eastAsia="Calibri" w:hAnsi="Calibri"/>
          <w:b/>
          <w:bCs/>
          <w:i w:val="false"/>
          <w:iCs w:val="false"/>
          <w:color w:val="0F62FE"/>
          <w:sz w:val="17"/>
          <w:szCs w:val="17"/>
        </w:rPr>
        <w:t xml:space="preserve">— IBM Consulting — Payer Strategy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Horizon Needs</w:t>
            </w:r>
          </w:p>
          <w:p>
            <w:pPr>
              <w:spacing w:after="80" w:before="0"/>
            </w:pPr>
            <w:r>
              <w:rPr>
                <w:rFonts w:ascii="Calibri" w:cs="Calibri" w:eastAsia="Calibri" w:hAnsi="Calibri"/>
                <w:b w:val="false"/>
                <w:bCs w:val="false"/>
                <w:i w:val="false"/>
                <w:iCs w:val="false"/>
                <w:color w:val="525252"/>
                <w:sz w:val="20"/>
                <w:szCs w:val="20"/>
              </w:rPr>
              <w:t xml:space="preserve">A strategic partner to transform Application Development, Maintenance, Data, and Testing — with AI solutions native to the Horizon environment.</w:t>
            </w:r>
          </w:p>
          <w:p>
            <w:pPr>
              <w:spacing w:after="60" w:before="80"/>
            </w:pPr>
            <w:r>
              <w:rPr>
                <w:rFonts w:ascii="Calibri" w:cs="Calibri" w:eastAsia="Calibri" w:hAnsi="Calibri"/>
                <w:b/>
                <w:bCs/>
                <w:i w:val="false"/>
                <w:iCs w:val="false"/>
                <w:color w:val="001141"/>
                <w:sz w:val="22"/>
                <w:szCs w:val="22"/>
              </w:rPr>
              <w:t xml:space="preserve">Transformation Goals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operational efficiencies across all AMS towers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Product-oriented model aligned to business domains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in testing and QE to measurably reduce cost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Agile modernization across the ~1,000-app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Deep healthcare payer consulting expertise</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IBM’s Design Rationale</w:t>
            </w:r>
          </w:p>
          <w:p>
            <w:pPr>
              <w:spacing w:after="40" w:before="100"/>
            </w:pPr>
            <w:r>
              <w:rPr>
                <w:rFonts w:ascii="Calibri" w:cs="Calibri" w:eastAsia="Calibri" w:hAnsi="Calibri"/>
                <w:b/>
                <w:bCs/>
                <w:i w:val="false"/>
                <w:iCs w:val="false"/>
                <w:color w:val="0F62FE"/>
                <w:sz w:val="20"/>
                <w:szCs w:val="20"/>
              </w:rPr>
              <w:t xml:space="preserve">End-to-End Delivery</w:t>
            </w:r>
          </w:p>
          <w:p>
            <w:pPr>
              <w:spacing w:after="80" w:before="0"/>
            </w:pPr>
            <w:r>
              <w:rPr>
                <w:rFonts w:ascii="Calibri" w:cs="Calibri" w:eastAsia="Calibri" w:hAnsi="Calibri"/>
                <w:b w:val="false"/>
                <w:bCs w:val="false"/>
                <w:i w:val="false"/>
                <w:iCs w:val="false"/>
                <w:color w:val="525252"/>
                <w:sz w:val="19"/>
                <w:szCs w:val="19"/>
              </w:rPr>
              <w:t xml:space="preserve">Unified model across Maintenance, Dev, Testing, Data. No silos. One team, one backlog, one set of outcomes.</w:t>
            </w:r>
          </w:p>
          <w:p>
            <w:pPr>
              <w:spacing w:after="40" w:before="100"/>
            </w:pPr>
            <w:r>
              <w:rPr>
                <w:rFonts w:ascii="Calibri" w:cs="Calibri" w:eastAsia="Calibri" w:hAnsi="Calibri"/>
                <w:b/>
                <w:bCs/>
                <w:i w:val="false"/>
                <w:iCs w:val="false"/>
                <w:color w:val="0F62FE"/>
                <w:sz w:val="20"/>
                <w:szCs w:val="20"/>
              </w:rPr>
              <w:t xml:space="preserve">AI at the Core</w:t>
            </w:r>
          </w:p>
          <w:p>
            <w:pPr>
              <w:spacing w:after="80" w:before="0"/>
            </w:pPr>
            <w:r>
              <w:rPr>
                <w:rFonts w:ascii="Calibri" w:cs="Calibri" w:eastAsia="Calibri" w:hAnsi="Calibri"/>
                <w:b w:val="false"/>
                <w:bCs w:val="false"/>
                <w:i w:val="false"/>
                <w:iCs w:val="false"/>
                <w:color w:val="525252"/>
                <w:sz w:val="19"/>
                <w:szCs w:val="19"/>
              </w:rPr>
              <w:t xml:space="preserve">AI embedded in triage, RCA, resolution, test automation, and validation from Day 1.</w:t>
            </w:r>
          </w:p>
          <w:p>
            <w:pPr>
              <w:spacing w:after="40" w:before="100"/>
            </w:pPr>
            <w:r>
              <w:rPr>
                <w:rFonts w:ascii="Calibri" w:cs="Calibri" w:eastAsia="Calibri" w:hAnsi="Calibri"/>
                <w:b/>
                <w:bCs/>
                <w:i w:val="false"/>
                <w:iCs w:val="false"/>
                <w:color w:val="0F62FE"/>
                <w:sz w:val="20"/>
                <w:szCs w:val="20"/>
              </w:rPr>
              <w:t xml:space="preserve">Zero-Disruption Transition</w:t>
            </w:r>
          </w:p>
          <w:p>
            <w:pPr>
              <w:spacing w:after="80" w:before="0"/>
            </w:pPr>
            <w:r>
              <w:rPr>
                <w:rFonts w:ascii="Calibri" w:cs="Calibri" w:eastAsia="Calibri" w:hAnsi="Calibri"/>
                <w:b w:val="false"/>
                <w:bCs w:val="false"/>
                <w:i w:val="false"/>
                <w:iCs w:val="false"/>
                <w:color w:val="525252"/>
                <w:sz w:val="19"/>
                <w:szCs w:val="19"/>
              </w:rPr>
              <w:t xml:space="preserve">Phased approach preserving operational continuity. Zero member impact.</w:t>
            </w:r>
          </w:p>
          <w:p>
            <w:pPr>
              <w:spacing w:after="40" w:before="100"/>
            </w:pPr>
            <w:r>
              <w:rPr>
                <w:rFonts w:ascii="Calibri" w:cs="Calibri" w:eastAsia="Calibri" w:hAnsi="Calibri"/>
                <w:b/>
                <w:bCs/>
                <w:i w:val="false"/>
                <w:iCs w:val="false"/>
                <w:color w:val="0F62FE"/>
                <w:sz w:val="20"/>
                <w:szCs w:val="20"/>
              </w:rPr>
              <w:t xml:space="preserve">Open Architecture</w:t>
            </w:r>
          </w:p>
          <w:p>
            <w:pPr>
              <w:spacing w:after="80" w:before="0"/>
            </w:pPr>
            <w:r>
              <w:rPr>
                <w:rFonts w:ascii="Calibri" w:cs="Calibri" w:eastAsia="Calibri" w:hAnsi="Calibri"/>
                <w:b w:val="false"/>
                <w:bCs w:val="false"/>
                <w:i w:val="false"/>
                <w:iCs w:val="false"/>
                <w:color w:val="525252"/>
                <w:sz w:val="19"/>
                <w:szCs w:val="19"/>
              </w:rPr>
              <w:t xml:space="preserve">Deployed on Horizon’s AWS stack. No vendor lock-in.</w:t>
            </w:r>
          </w:p>
        </w:tc>
      </w:tr>
    </w:tbl>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Current State vs. IBM 12-Month Targets</w:t>
      </w:r>
    </w:p>
    <w:p>
      <w:pPr>
        <w:spacing w:after="80" w:before="0"/>
      </w:pPr>
      <w:r>
        <w:rPr>
          <w:rFonts w:ascii="Calibri" w:cs="Calibri" w:eastAsia="Calibri" w:hAnsi="Calibri"/>
          <w:b w:val="false"/>
          <w:bCs w:val="false"/>
          <w:i/>
          <w:iCs/>
          <w:color w:val="8D8D8D"/>
          <w:sz w:val="17"/>
          <w:szCs w:val="17"/>
        </w:rPr>
        <w:t xml:space="preserve">Estimates are directional; formally baselined during SOW. Committed targets agreed at programme commencement.</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318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685"/>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2059"/>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IBM Target</w:t>
            </w:r>
          </w:p>
        </w:tc>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Direction</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 Coverage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+3×</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MTTR (Mean Time to Resolve)</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4 hours</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1.8 hours</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55%</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 to Production</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Untracked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 Reduction</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Best-in-class</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P3/P4 Auto-Resolution</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10%</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74%</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7×</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 Time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Automated</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Alert Noise per Shift</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Unfiltered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60% Reduced</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AI-filtered</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System Availability</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~99.7%</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99.9%+</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AI-ops</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03  </w:t>
      </w:r>
      <w:r>
        <w:rPr>
          <w:rFonts w:ascii="Calibri" w:cs="Calibri" w:eastAsia="Calibri" w:hAnsi="Calibri"/>
          <w:b/>
          <w:bCs/>
          <w:i w:val="false"/>
          <w:iCs w:val="false"/>
          <w:color w:val="001141"/>
          <w:sz w:val="32"/>
          <w:szCs w:val="32"/>
        </w:rPr>
        <w:t xml:space="preserve">AI-First Application Development</w:t>
      </w:r>
    </w:p>
    <w:p>
      <w:pPr>
        <w:spacing w:after="120" w:before="0"/>
      </w:pPr>
      <w:r>
        <w:rPr>
          <w:rFonts w:ascii="Calibri" w:cs="Calibri" w:eastAsia="Calibri" w:hAnsi="Calibri"/>
          <w:b w:val="false"/>
          <w:bCs w:val="false"/>
          <w:i/>
          <w:iCs/>
          <w:color w:val="8D8D8D"/>
          <w:sz w:val="19"/>
          <w:szCs w:val="19"/>
        </w:rPr>
        <w:t xml:space="preserve">Agentic Engineering  ·  Risk-Scored Pipelines  ·  Domain-Aligned Squads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member’s enrollment takes two weeks because a downstream app is slow, that is not a technology problem — that is a trust problem. Every sprint is measured by whether the member’s experience got better.”</w:t>
      </w:r>
    </w:p>
    <w:p>
      <w:pPr>
        <w:spacing w:after="100" w:before="0"/>
        <w:jc w:val="right"/>
      </w:pPr>
      <w:r>
        <w:rPr>
          <w:rFonts w:ascii="Calibri" w:cs="Calibri" w:eastAsia="Calibri" w:hAnsi="Calibri"/>
          <w:b/>
          <w:bCs/>
          <w:i w:val="false"/>
          <w:iCs w:val="false"/>
          <w:color w:val="0F62FE"/>
          <w:sz w:val="17"/>
          <w:szCs w:val="17"/>
        </w:rPr>
        <w:t xml:space="preserve">— IBM — Member Experience Engineering</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How IBM Builds Faster</w:t>
            </w:r>
          </w:p>
          <w:p>
            <w:pPr>
              <w:spacing w:after="40" w:before="100"/>
            </w:pPr>
            <w:r>
              <w:rPr>
                <w:rFonts w:ascii="Calibri" w:cs="Calibri" w:eastAsia="Calibri" w:hAnsi="Calibri"/>
                <w:b/>
                <w:bCs/>
                <w:i w:val="false"/>
                <w:iCs w:val="false"/>
                <w:color w:val="0F62FE"/>
                <w:sz w:val="20"/>
                <w:szCs w:val="20"/>
              </w:rPr>
              <w:t xml:space="preserve">AI-Assisted Development</w:t>
            </w:r>
          </w:p>
          <w:p>
            <w:pPr>
              <w:spacing w:after="80" w:before="0"/>
            </w:pPr>
            <w:r>
              <w:rPr>
                <w:rFonts w:ascii="Calibri" w:cs="Calibri" w:eastAsia="Calibri" w:hAnsi="Calibri"/>
                <w:b w:val="false"/>
                <w:bCs w:val="false"/>
                <w:i w:val="false"/>
                <w:iCs w:val="false"/>
                <w:color w:val="525252"/>
                <w:sz w:val="19"/>
                <w:szCs w:val="19"/>
              </w:rPr>
              <w:t xml:space="preserve">GenAI accelerates code generation, review, and documentation. Developer throughput +25–35% without adding headcount. IBM Consulting Advantage: 6,500+ production-tested assets.</w:t>
            </w:r>
          </w:p>
          <w:p>
            <w:pPr>
              <w:spacing w:after="40" w:before="100"/>
            </w:pPr>
            <w:r>
              <w:rPr>
                <w:rFonts w:ascii="Calibri" w:cs="Calibri" w:eastAsia="Calibri" w:hAnsi="Calibri"/>
                <w:b/>
                <w:bCs/>
                <w:i w:val="false"/>
                <w:iCs w:val="false"/>
                <w:color w:val="0F62FE"/>
                <w:sz w:val="20"/>
                <w:szCs w:val="20"/>
              </w:rPr>
              <w:t xml:space="preserve">DevSecOps Integration</w:t>
            </w:r>
          </w:p>
          <w:p>
            <w:pPr>
              <w:spacing w:after="80" w:before="0"/>
            </w:pPr>
            <w:r>
              <w:rPr>
                <w:rFonts w:ascii="Calibri" w:cs="Calibri" w:eastAsia="Calibri" w:hAnsi="Calibri"/>
                <w:b w:val="false"/>
                <w:bCs w:val="false"/>
                <w:i w:val="false"/>
                <w:iCs w:val="false"/>
                <w:color w:val="525252"/>
                <w:sz w:val="19"/>
                <w:szCs w:val="19"/>
              </w:rPr>
              <w:t xml:space="preserve">Security embedded left into CI/CD. Automated vulnerability scanning at every stage. HIPAA, CMS, PCI compliance automated.</w:t>
            </w:r>
          </w:p>
          <w:p>
            <w:pPr>
              <w:spacing w:after="40" w:before="100"/>
            </w:pPr>
            <w:r>
              <w:rPr>
                <w:rFonts w:ascii="Calibri" w:cs="Calibri" w:eastAsia="Calibri" w:hAnsi="Calibri"/>
                <w:b/>
                <w:bCs/>
                <w:i w:val="false"/>
                <w:iCs w:val="false"/>
                <w:color w:val="0F62FE"/>
                <w:sz w:val="20"/>
                <w:szCs w:val="20"/>
              </w:rPr>
              <w:t xml:space="preserve">Domain-Aligned Squads</w:t>
            </w:r>
          </w:p>
          <w:p>
            <w:pPr>
              <w:spacing w:after="80" w:before="0"/>
            </w:pPr>
            <w:r>
              <w:rPr>
                <w:rFonts w:ascii="Calibri" w:cs="Calibri" w:eastAsia="Calibri" w:hAnsi="Calibri"/>
                <w:b w:val="false"/>
                <w:bCs w:val="false"/>
                <w:i w:val="false"/>
                <w:iCs w:val="false"/>
                <w:color w:val="525252"/>
                <w:sz w:val="19"/>
                <w:szCs w:val="19"/>
              </w:rPr>
              <w:t xml:space="preserve">Teams aligned to Claims, Enrollment, Member, Provider, Data. Context stays with the squad. Accountability is end-to-end.</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360" w:before="0"/>
            </w:pPr>
            <w:r>
              <w:rPr>
                <w:rFonts w:ascii="Calibri" w:cs="Calibri" w:eastAsia="Calibri" w:hAnsi="Calibri"/>
                <w:sz w:val="8"/>
                <w:szCs w:val="8"/>
              </w:rPr>
              <w:t xml:space="preserve"/>
            </w:r>
          </w:p>
          <w:p>
            <w:pPr>
              <w:spacing w:after="40" w:before="100"/>
            </w:pPr>
            <w:r>
              <w:rPr>
                <w:rFonts w:ascii="Calibri" w:cs="Calibri" w:eastAsia="Calibri" w:hAnsi="Calibri"/>
                <w:b/>
                <w:bCs/>
                <w:i w:val="false"/>
                <w:iCs w:val="false"/>
                <w:color w:val="0F62FE"/>
                <w:sz w:val="20"/>
                <w:szCs w:val="20"/>
              </w:rPr>
              <w:t xml:space="preserve">Risk-Scored Releases</w:t>
            </w:r>
          </w:p>
          <w:p>
            <w:pPr>
              <w:spacing w:after="80" w:before="0"/>
            </w:pPr>
            <w:r>
              <w:rPr>
                <w:rFonts w:ascii="Calibri" w:cs="Calibri" w:eastAsia="Calibri" w:hAnsi="Calibri"/>
                <w:b w:val="false"/>
                <w:bCs w:val="false"/>
                <w:i w:val="false"/>
                <w:iCs w:val="false"/>
                <w:color w:val="525252"/>
                <w:sz w:val="19"/>
                <w:szCs w:val="19"/>
              </w:rPr>
              <w:t xml:space="preserve">AI-scored gates: security, coverage, performance, historical risk. Low-risk deploys without human approval. Faster delivery, fewer incidents.</w:t>
            </w:r>
          </w:p>
          <w:p>
            <w:pPr>
              <w:spacing w:after="40" w:before="100"/>
            </w:pPr>
            <w:r>
              <w:rPr>
                <w:rFonts w:ascii="Calibri" w:cs="Calibri" w:eastAsia="Calibri" w:hAnsi="Calibri"/>
                <w:b/>
                <w:bCs/>
                <w:i w:val="false"/>
                <w:iCs w:val="false"/>
                <w:color w:val="0F62FE"/>
                <w:sz w:val="20"/>
                <w:szCs w:val="20"/>
              </w:rPr>
              <w:t xml:space="preserve">Modernization in Stride</w:t>
            </w:r>
          </w:p>
          <w:p>
            <w:pPr>
              <w:spacing w:after="80" w:before="0"/>
            </w:pPr>
            <w:r>
              <w:rPr>
                <w:rFonts w:ascii="Calibri" w:cs="Calibri" w:eastAsia="Calibri" w:hAnsi="Calibri"/>
                <w:b w:val="false"/>
                <w:bCs w:val="false"/>
                <w:i w:val="false"/>
                <w:iCs w:val="false"/>
                <w:color w:val="525252"/>
                <w:sz w:val="19"/>
                <w:szCs w:val="19"/>
              </w:rPr>
              <w:t xml:space="preserve">Embedded in every sprint — refactor, API wrap, library upgrade. The estate improves continuously without a separate capital programme.</w:t>
            </w:r>
          </w:p>
          <w:p>
            <w:pPr>
              <w:spacing w:after="8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25–40% faster time to market within 12 months</w:t>
            </w:r>
          </w:p>
        </w:tc>
      </w:tr>
    </w:tbl>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Development Efficiency Gains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AI-assisted code generation</w:t>
            </w:r>
          </w:p>
        </w:tc>
        <w:tc>
          <w:tcPr>
            <w:tcW w:type="dxa" w:w="4320"/>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08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+30% capacity</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Automated QE test synthesis</w:t>
            </w:r>
          </w:p>
        </w:tc>
        <w:tc>
          <w:tcPr>
            <w:tcW w:type="dxa" w:w="4050"/>
            <w:tcBorders>
              <w:top w:val="none" w:color="auto" w:sz="0"/>
              <w:left w:val="none" w:color="auto" w:sz="0"/>
              <w:bottom w:val="none" w:color="auto" w:sz="0"/>
              <w:right w:val="none" w:color="auto" w:sz="0"/>
            </w:tcBorders>
            <w:shd w:fill="007D79" w:val="clear"/>
          </w:tcPr>
          <w:p>
            <w:pPr>
              <w:spacing w:after="0" w:before="0"/>
            </w:pPr>
            <w:r>
              <w:rPr>
                <w:rFonts w:ascii="Calibri" w:cs="Calibri" w:eastAsia="Calibri" w:hAnsi="Calibri"/>
                <w:sz w:val="8"/>
                <w:szCs w:val="8"/>
              </w:rPr>
              <w:t xml:space="preserve"/>
            </w:r>
          </w:p>
        </w:tc>
        <w:tc>
          <w:tcPr>
            <w:tcW w:type="dxa" w:w="13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 QE speed</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Risk-scored deployment pipeline</w:t>
            </w:r>
          </w:p>
        </w:tc>
        <w:tc>
          <w:tcPr>
            <w:tcW w:type="dxa" w:w="378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62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−60% failures</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Domain squad alignment</w:t>
            </w:r>
          </w:p>
        </w:tc>
        <w:tc>
          <w:tcPr>
            <w:tcW w:type="dxa" w:w="3510"/>
            <w:tcBorders>
              <w:top w:val="none" w:color="auto" w:sz="0"/>
              <w:left w:val="none" w:color="auto" w:sz="0"/>
              <w:bottom w:val="none" w:color="auto" w:sz="0"/>
              <w:right w:val="none" w:color="auto" w:sz="0"/>
            </w:tcBorders>
            <w:shd w:fill="6929C4" w:val="clear"/>
          </w:tcPr>
          <w:p>
            <w:pPr>
              <w:spacing w:after="0" w:before="0"/>
            </w:pPr>
            <w:r>
              <w:rPr>
                <w:rFonts w:ascii="Calibri" w:cs="Calibri" w:eastAsia="Calibri" w:hAnsi="Calibri"/>
                <w:sz w:val="8"/>
                <w:szCs w:val="8"/>
              </w:rPr>
              <w:t xml:space="preserve"/>
            </w:r>
          </w:p>
        </w:tc>
        <w:tc>
          <w:tcPr>
            <w:tcW w:type="dxa" w:w="189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−40% handoffs</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Modernization-in-stride</w:t>
            </w:r>
          </w:p>
        </w:tc>
        <w:tc>
          <w:tcPr>
            <w:tcW w:type="dxa" w:w="3240"/>
            <w:tcBorders>
              <w:top w:val="none" w:color="auto" w:sz="0"/>
              <w:left w:val="none" w:color="auto" w:sz="0"/>
              <w:bottom w:val="none" w:color="auto" w:sz="0"/>
              <w:right w:val="none" w:color="auto" w:sz="0"/>
            </w:tcBorders>
            <w:shd w:fill="005D5D" w:val="clear"/>
          </w:tcPr>
          <w:p>
            <w:pPr>
              <w:spacing w:after="0" w:before="0"/>
            </w:pPr>
            <w:r>
              <w:rPr>
                <w:rFonts w:ascii="Calibri" w:cs="Calibri" w:eastAsia="Calibri" w:hAnsi="Calibri"/>
                <w:sz w:val="8"/>
                <w:szCs w:val="8"/>
              </w:rPr>
              <w:t xml:space="preserve"/>
            </w:r>
          </w:p>
        </w:tc>
        <w:tc>
          <w:tcPr>
            <w:tcW w:type="dxa" w:w="216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Debt −30%/yr</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25–40%</w:t>
            </w:r>
          </w:p>
          <w:p>
            <w:pPr>
              <w:spacing w:after="120" w:before="0"/>
              <w:jc w:val="center"/>
            </w:pPr>
            <w:r>
              <w:rPr>
                <w:rFonts w:ascii="Calibri" w:cs="Calibri" w:eastAsia="Calibri" w:hAnsi="Calibri"/>
                <w:b/>
                <w:bCs/>
                <w:i w:val="false"/>
                <w:iCs w:val="false"/>
                <w:color w:val="001141"/>
                <w:sz w:val="17"/>
                <w:szCs w:val="17"/>
              </w:rPr>
              <w:t xml:space="preserve">Faster Time to Market</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2×</w:t>
            </w:r>
          </w:p>
          <w:p>
            <w:pPr>
              <w:spacing w:after="120" w:before="0"/>
              <w:jc w:val="center"/>
            </w:pPr>
            <w:r>
              <w:rPr>
                <w:rFonts w:ascii="Calibri" w:cs="Calibri" w:eastAsia="Calibri" w:hAnsi="Calibri"/>
                <w:b/>
                <w:bCs/>
                <w:i w:val="false"/>
                <w:iCs w:val="false"/>
                <w:color w:val="001141"/>
                <w:sz w:val="17"/>
                <w:szCs w:val="17"/>
              </w:rPr>
              <w:t xml:space="preserve">Deploy Frequency</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−60%</w:t>
            </w:r>
          </w:p>
          <w:p>
            <w:pPr>
              <w:spacing w:after="120" w:before="0"/>
              <w:jc w:val="center"/>
            </w:pPr>
            <w:r>
              <w:rPr>
                <w:rFonts w:ascii="Calibri" w:cs="Calibri" w:eastAsia="Calibri" w:hAnsi="Calibri"/>
                <w:b/>
                <w:bCs/>
                <w:i w:val="false"/>
                <w:iCs w:val="false"/>
                <w:color w:val="001141"/>
                <w:sz w:val="17"/>
                <w:szCs w:val="17"/>
              </w:rPr>
              <w:t xml:space="preserve">Change Failure Rate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80%+</w:t>
            </w:r>
          </w:p>
          <w:p>
            <w:pPr>
              <w:spacing w:after="120" w:before="0"/>
              <w:jc w:val="center"/>
            </w:pPr>
            <w:r>
              <w:rPr>
                <w:rFonts w:ascii="Calibri" w:cs="Calibri" w:eastAsia="Calibri" w:hAnsi="Calibri"/>
                <w:b/>
                <w:bCs/>
                <w:i w:val="false"/>
                <w:iCs w:val="false"/>
                <w:color w:val="001141"/>
                <w:sz w:val="17"/>
                <w:szCs w:val="17"/>
              </w:rPr>
              <w:t xml:space="preserve">Test Automation</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04  </w:t>
      </w:r>
      <w:r>
        <w:rPr>
          <w:rFonts w:ascii="Calibri" w:cs="Calibri" w:eastAsia="Calibri" w:hAnsi="Calibri"/>
          <w:b/>
          <w:bCs/>
          <w:i w:val="false"/>
          <w:iCs w:val="false"/>
          <w:color w:val="001141"/>
          <w:sz w:val="32"/>
          <w:szCs w:val="32"/>
        </w:rPr>
        <w:t xml:space="preserve">Zero-Touch Application Maintenance</w:t>
      </w:r>
    </w:p>
    <w:p>
      <w:pPr>
        <w:spacing w:after="120" w:before="0"/>
      </w:pPr>
      <w:r>
        <w:rPr>
          <w:rFonts w:ascii="Calibri" w:cs="Calibri" w:eastAsia="Calibri" w:hAnsi="Calibri"/>
          <w:b w:val="false"/>
          <w:bCs w:val="false"/>
          <w:i/>
          <w:iCs/>
          <w:color w:val="8D8D8D"/>
          <w:sz w:val="19"/>
          <w:szCs w:val="19"/>
        </w:rPr>
        <w:t xml:space="preserve">Agentic AI Operations — From Reactive Firefighting to Self-Healing</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claims system fails at 2 AM, the first responder should be an AI agent — not a sleep-deprived engineer. The provider should never know. The member should never feel it. That is zero-touch.”</w:t>
      </w:r>
    </w:p>
    <w:p>
      <w:pPr>
        <w:spacing w:after="100" w:before="0"/>
        <w:jc w:val="right"/>
      </w:pPr>
      <w:r>
        <w:rPr>
          <w:rFonts w:ascii="Calibri" w:cs="Calibri" w:eastAsia="Calibri" w:hAnsi="Calibri"/>
          <w:b/>
          <w:bCs/>
          <w:i w:val="false"/>
          <w:iCs w:val="false"/>
          <w:color w:val="0F62FE"/>
          <w:sz w:val="17"/>
          <w:szCs w:val="17"/>
        </w:rPr>
        <w:t xml:space="preserve">— IBM AIOps</w:t>
      </w:r>
    </w:p>
    <w:p>
      <w:pPr>
        <w:spacing w:after="80" w:before="0"/>
      </w:pPr>
      <w:r>
        <w:rPr>
          <w:rFonts w:ascii="Calibri" w:cs="Calibri" w:eastAsia="Calibri" w:hAnsi="Calibri"/>
          <w:b w:val="false"/>
          <w:bCs w:val="false"/>
          <w:i w:val="false"/>
          <w:iCs w:val="false"/>
          <w:color w:val="525252"/>
          <w:sz w:val="20"/>
          <w:szCs w:val="20"/>
        </w:rPr>
        <w:t xml:space="preserve">IBM’s AIOps framework uses a multi-agent architecture — specialized AI agents across the incident lifecycle from detection through resolution and continuous learning. Built on Horizon’s AWS stack: AgentCore &amp; Bedrock, ElasticSearch, PostgreSQL, ServiceNow, CloudWatch, Splunk.</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80"/>
            </w:pPr>
            <w:r>
              <w:rPr>
                <w:rFonts w:ascii="Calibri" w:cs="Calibri" w:eastAsia="Calibri" w:hAnsi="Calibri"/>
                <w:b/>
                <w:bCs/>
                <w:i w:val="false"/>
                <w:iCs w:val="false"/>
                <w:color w:val="001141"/>
                <w:sz w:val="22"/>
                <w:szCs w:val="22"/>
              </w:rPr>
              <w:t xml:space="preserve">Agent Roles</w:t>
            </w:r>
          </w:p>
          <w:p>
            <w:pPr>
              <w:spacing w:after="40" w:before="100"/>
            </w:pPr>
            <w:r>
              <w:rPr>
                <w:rFonts w:ascii="Calibri" w:cs="Calibri" w:eastAsia="Calibri" w:hAnsi="Calibri"/>
                <w:b/>
                <w:bCs/>
                <w:i w:val="false"/>
                <w:iCs w:val="false"/>
                <w:color w:val="0F62FE"/>
                <w:sz w:val="20"/>
                <w:szCs w:val="20"/>
              </w:rPr>
              <w:t xml:space="preserve">Help Desk Agent</w:t>
            </w:r>
          </w:p>
          <w:p>
            <w:pPr>
              <w:spacing w:after="80" w:before="0"/>
            </w:pPr>
            <w:r>
              <w:rPr>
                <w:rFonts w:ascii="Calibri" w:cs="Calibri" w:eastAsia="Calibri" w:hAnsi="Calibri"/>
                <w:b w:val="false"/>
                <w:bCs w:val="false"/>
                <w:i w:val="false"/>
                <w:iCs w:val="false"/>
                <w:color w:val="525252"/>
                <w:sz w:val="19"/>
                <w:szCs w:val="19"/>
              </w:rPr>
              <w:t xml:space="preserve">Context-aware guidance; auto-resolves issues before ticket creation.</w:t>
            </w:r>
          </w:p>
          <w:p>
            <w:pPr>
              <w:spacing w:after="40" w:before="100"/>
            </w:pPr>
            <w:r>
              <w:rPr>
                <w:rFonts w:ascii="Calibri" w:cs="Calibri" w:eastAsia="Calibri" w:hAnsi="Calibri"/>
                <w:b/>
                <w:bCs/>
                <w:i w:val="false"/>
                <w:iCs w:val="false"/>
                <w:color w:val="0F62FE"/>
                <w:sz w:val="20"/>
                <w:szCs w:val="20"/>
              </w:rPr>
              <w:t xml:space="preserve">Triage Agent</w:t>
            </w:r>
          </w:p>
          <w:p>
            <w:pPr>
              <w:spacing w:after="80" w:before="0"/>
            </w:pPr>
            <w:r>
              <w:rPr>
                <w:rFonts w:ascii="Calibri" w:cs="Calibri" w:eastAsia="Calibri" w:hAnsi="Calibri"/>
                <w:b w:val="false"/>
                <w:bCs w:val="false"/>
                <w:i w:val="false"/>
                <w:iCs w:val="false"/>
                <w:color w:val="525252"/>
                <w:sz w:val="19"/>
                <w:szCs w:val="19"/>
              </w:rPr>
              <w:t xml:space="preserve">Impact-based prioritization; eliminates manual queue management.</w:t>
            </w:r>
          </w:p>
          <w:p>
            <w:pPr>
              <w:spacing w:after="40" w:before="100"/>
            </w:pPr>
            <w:r>
              <w:rPr>
                <w:rFonts w:ascii="Calibri" w:cs="Calibri" w:eastAsia="Calibri" w:hAnsi="Calibri"/>
                <w:b/>
                <w:bCs/>
                <w:i w:val="false"/>
                <w:iCs w:val="false"/>
                <w:color w:val="0F62FE"/>
                <w:sz w:val="20"/>
                <w:szCs w:val="20"/>
              </w:rPr>
              <w:t xml:space="preserve">Root Cause Analysis</w:t>
            </w:r>
          </w:p>
          <w:p>
            <w:pPr>
              <w:spacing w:after="80" w:before="0"/>
            </w:pPr>
            <w:r>
              <w:rPr>
                <w:rFonts w:ascii="Calibri" w:cs="Calibri" w:eastAsia="Calibri" w:hAnsi="Calibri"/>
                <w:b w:val="false"/>
                <w:bCs w:val="false"/>
                <w:i w:val="false"/>
                <w:iCs w:val="false"/>
                <w:color w:val="525252"/>
                <w:sz w:val="19"/>
                <w:szCs w:val="19"/>
              </w:rPr>
              <w:t xml:space="preserve">Correlates 140+ sources; identifies root cause in minutes, not hours.</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480" w:before="0"/>
            </w:pPr>
            <w:r>
              <w:rPr>
                <w:rFonts w:ascii="Calibri" w:cs="Calibri" w:eastAsia="Calibri" w:hAnsi="Calibri"/>
                <w:sz w:val="8"/>
                <w:szCs w:val="8"/>
              </w:rPr>
              <w:t xml:space="preserve"/>
            </w:r>
          </w:p>
          <w:p>
            <w:pPr>
              <w:spacing w:after="40" w:before="100"/>
            </w:pPr>
            <w:r>
              <w:rPr>
                <w:rFonts w:ascii="Calibri" w:cs="Calibri" w:eastAsia="Calibri" w:hAnsi="Calibri"/>
                <w:b/>
                <w:bCs/>
                <w:i w:val="false"/>
                <w:iCs w:val="false"/>
                <w:color w:val="0F62FE"/>
                <w:sz w:val="20"/>
                <w:szCs w:val="20"/>
              </w:rPr>
              <w:t xml:space="preserve">Resolution Agent</w:t>
            </w:r>
          </w:p>
          <w:p>
            <w:pPr>
              <w:spacing w:after="80" w:before="0"/>
            </w:pPr>
            <w:r>
              <w:rPr>
                <w:rFonts w:ascii="Calibri" w:cs="Calibri" w:eastAsia="Calibri" w:hAnsi="Calibri"/>
                <w:b w:val="false"/>
                <w:bCs w:val="false"/>
                <w:i w:val="false"/>
                <w:iCs w:val="false"/>
                <w:color w:val="525252"/>
                <w:sz w:val="19"/>
                <w:szCs w:val="19"/>
              </w:rPr>
              <w:t xml:space="preserve">Executes remediation from runbooks. &gt;74% of P3/P4 incidents resolved without human action.</w:t>
            </w:r>
          </w:p>
          <w:p>
            <w:pPr>
              <w:spacing w:after="40" w:before="100"/>
            </w:pPr>
            <w:r>
              <w:rPr>
                <w:rFonts w:ascii="Calibri" w:cs="Calibri" w:eastAsia="Calibri" w:hAnsi="Calibri"/>
                <w:b/>
                <w:bCs/>
                <w:i w:val="false"/>
                <w:iCs w:val="false"/>
                <w:color w:val="0F62FE"/>
                <w:sz w:val="20"/>
                <w:szCs w:val="20"/>
              </w:rPr>
              <w:t xml:space="preserve">Runbook Generation</w:t>
            </w:r>
          </w:p>
          <w:p>
            <w:pPr>
              <w:spacing w:after="80" w:before="0"/>
            </w:pPr>
            <w:r>
              <w:rPr>
                <w:rFonts w:ascii="Calibri" w:cs="Calibri" w:eastAsia="Calibri" w:hAnsi="Calibri"/>
                <w:b w:val="false"/>
                <w:bCs w:val="false"/>
                <w:i w:val="false"/>
                <w:iCs w:val="false"/>
                <w:color w:val="525252"/>
                <w:sz w:val="19"/>
                <w:szCs w:val="19"/>
              </w:rPr>
              <w:t xml:space="preserve">Auto-generates runbooks from resolved incidents. Knowledge compounds; no institutional memory loss.</w:t>
            </w:r>
          </w:p>
          <w:p>
            <w:pPr>
              <w:spacing w:after="40" w:before="100"/>
            </w:pPr>
            <w:r>
              <w:rPr>
                <w:rFonts w:ascii="Calibri" w:cs="Calibri" w:eastAsia="Calibri" w:hAnsi="Calibri"/>
                <w:b/>
                <w:bCs/>
                <w:i w:val="false"/>
                <w:iCs w:val="false"/>
                <w:color w:val="0F62FE"/>
                <w:sz w:val="20"/>
                <w:szCs w:val="20"/>
              </w:rPr>
              <w:t xml:space="preserve">Continuous Learning</w:t>
            </w:r>
          </w:p>
          <w:p>
            <w:pPr>
              <w:spacing w:after="80" w:before="0"/>
            </w:pPr>
            <w:r>
              <w:rPr>
                <w:rFonts w:ascii="Calibri" w:cs="Calibri" w:eastAsia="Calibri" w:hAnsi="Calibri"/>
                <w:b w:val="false"/>
                <w:bCs w:val="false"/>
                <w:i w:val="false"/>
                <w:iCs w:val="false"/>
                <w:color w:val="525252"/>
                <w:sz w:val="19"/>
                <w:szCs w:val="19"/>
              </w:rPr>
              <w:t xml:space="preserve">Production telemetry feeds all agents. Month 12 is fundamentally smarter than Month 1.</w:t>
            </w:r>
          </w:p>
        </w:tc>
      </w:tr>
    </w:tbl>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Zero-Touch Pipeline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F62FE"/>
                <w:sz w:val="14"/>
                <w:szCs w:val="14"/>
              </w:rPr>
              <w:t xml:space="preserve">STEP 1</w:t>
            </w:r>
          </w:p>
          <w:p>
            <w:pPr>
              <w:spacing w:after="60" w:before="0"/>
              <w:jc w:val="center"/>
            </w:pPr>
            <w:r>
              <w:rPr>
                <w:rFonts w:ascii="Calibri" w:cs="Calibri" w:eastAsia="Calibri" w:hAnsi="Calibri"/>
                <w:b/>
                <w:bCs/>
                <w:i w:val="false"/>
                <w:iCs w:val="false"/>
                <w:color w:val="001141"/>
                <w:sz w:val="19"/>
                <w:szCs w:val="19"/>
              </w:rPr>
              <w:t xml:space="preserve">Detect</w:t>
            </w:r>
          </w:p>
          <w:p>
            <w:pPr>
              <w:spacing w:after="30" w:before="0"/>
              <w:jc w:val="center"/>
            </w:pPr>
            <w:r>
              <w:rPr>
                <w:rFonts w:ascii="Calibri" w:cs="Calibri" w:eastAsia="Calibri" w:hAnsi="Calibri"/>
                <w:b w:val="false"/>
                <w:bCs w:val="false"/>
                <w:i w:val="false"/>
                <w:iCs w:val="false"/>
                <w:color w:val="525252"/>
                <w:sz w:val="17"/>
                <w:szCs w:val="17"/>
              </w:rPr>
              <w:t xml:space="preserve">140+ sources</w:t>
            </w:r>
          </w:p>
          <w:p>
            <w:pPr>
              <w:spacing w:after="30" w:before="0"/>
              <w:jc w:val="center"/>
            </w:pPr>
            <w:r>
              <w:rPr>
                <w:rFonts w:ascii="Calibri" w:cs="Calibri" w:eastAsia="Calibri" w:hAnsi="Calibri"/>
                <w:b w:val="false"/>
                <w:bCs w:val="false"/>
                <w:i w:val="false"/>
                <w:iCs w:val="false"/>
                <w:color w:val="525252"/>
                <w:sz w:val="17"/>
                <w:szCs w:val="17"/>
              </w:rPr>
              <w:t xml:space="preserve">Noise &gt;60% cut</w:t>
            </w:r>
          </w:p>
          <w:p>
            <w:pPr>
              <w:spacing w:after="60" w:before="0"/>
            </w:pPr>
            <w:r>
              <w:rPr>
                <w:rFonts w:ascii="Calibri" w:cs="Calibri" w:eastAsia="Calibri" w:hAnsi="Calibri"/>
                <w:sz w:val="8"/>
                <w:szCs w:val="8"/>
              </w:rPr>
              <w:t xml:space="preserve"/>
            </w:r>
          </w:p>
        </w:tc>
        <w:tc>
          <w:tcPr>
            <w:tcW w:type="dxa" w:w="1872"/>
            <w:tcBorders>
              <w:top w:val="single" w:color="0072C3"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2C3"/>
                <w:sz w:val="14"/>
                <w:szCs w:val="14"/>
              </w:rPr>
              <w:t xml:space="preserve">STEP 2</w:t>
            </w:r>
          </w:p>
          <w:p>
            <w:pPr>
              <w:spacing w:after="60" w:before="0"/>
              <w:jc w:val="center"/>
            </w:pPr>
            <w:r>
              <w:rPr>
                <w:rFonts w:ascii="Calibri" w:cs="Calibri" w:eastAsia="Calibri" w:hAnsi="Calibri"/>
                <w:b/>
                <w:bCs/>
                <w:i w:val="false"/>
                <w:iCs w:val="false"/>
                <w:color w:val="001141"/>
                <w:sz w:val="19"/>
                <w:szCs w:val="19"/>
              </w:rPr>
              <w:t xml:space="preserve">Triage</w:t>
            </w:r>
          </w:p>
          <w:p>
            <w:pPr>
              <w:spacing w:after="30" w:before="0"/>
              <w:jc w:val="center"/>
            </w:pPr>
            <w:r>
              <w:rPr>
                <w:rFonts w:ascii="Calibri" w:cs="Calibri" w:eastAsia="Calibri" w:hAnsi="Calibri"/>
                <w:b w:val="false"/>
                <w:bCs w:val="false"/>
                <w:i w:val="false"/>
                <w:iCs w:val="false"/>
                <w:color w:val="525252"/>
                <w:sz w:val="17"/>
                <w:szCs w:val="17"/>
              </w:rPr>
              <w:t xml:space="preserve">Impact scoring</w:t>
            </w:r>
          </w:p>
          <w:p>
            <w:pPr>
              <w:spacing w:after="30" w:before="0"/>
              <w:jc w:val="center"/>
            </w:pPr>
            <w:r>
              <w:rPr>
                <w:rFonts w:ascii="Calibri" w:cs="Calibri" w:eastAsia="Calibri" w:hAnsi="Calibri"/>
                <w:b w:val="false"/>
                <w:bCs w:val="false"/>
                <w:i w:val="false"/>
                <w:iCs w:val="false"/>
                <w:color w:val="525252"/>
                <w:sz w:val="17"/>
                <w:szCs w:val="17"/>
              </w:rPr>
              <w:t xml:space="preserve">Route instantly</w:t>
            </w:r>
          </w:p>
          <w:p>
            <w:pPr>
              <w:spacing w:after="60" w:before="0"/>
            </w:pPr>
            <w:r>
              <w:rPr>
                <w:rFonts w:ascii="Calibri" w:cs="Calibri" w:eastAsia="Calibri" w:hAnsi="Calibri"/>
                <w:sz w:val="8"/>
                <w:szCs w:val="8"/>
              </w:rPr>
              <w:t xml:space="preserve"/>
            </w:r>
          </w:p>
        </w:tc>
        <w:tc>
          <w:tcPr>
            <w:tcW w:type="dxa" w:w="1872"/>
            <w:tcBorders>
              <w:top w:val="single" w:color="0043C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43CE"/>
                <w:sz w:val="14"/>
                <w:szCs w:val="14"/>
              </w:rPr>
              <w:t xml:space="preserve">STEP 3</w:t>
            </w:r>
          </w:p>
          <w:p>
            <w:pPr>
              <w:spacing w:after="60" w:before="0"/>
              <w:jc w:val="center"/>
            </w:pPr>
            <w:r>
              <w:rPr>
                <w:rFonts w:ascii="Calibri" w:cs="Calibri" w:eastAsia="Calibri" w:hAnsi="Calibri"/>
                <w:b/>
                <w:bCs/>
                <w:i w:val="false"/>
                <w:iCs w:val="false"/>
                <w:color w:val="001141"/>
                <w:sz w:val="19"/>
                <w:szCs w:val="19"/>
              </w:rPr>
              <w:t xml:space="preserve">Diagnose</w:t>
            </w:r>
          </w:p>
          <w:p>
            <w:pPr>
              <w:spacing w:after="30" w:before="0"/>
              <w:jc w:val="center"/>
            </w:pPr>
            <w:r>
              <w:rPr>
                <w:rFonts w:ascii="Calibri" w:cs="Calibri" w:eastAsia="Calibri" w:hAnsi="Calibri"/>
                <w:b w:val="false"/>
                <w:bCs w:val="false"/>
                <w:i w:val="false"/>
                <w:iCs w:val="false"/>
                <w:color w:val="525252"/>
                <w:sz w:val="17"/>
                <w:szCs w:val="17"/>
              </w:rPr>
              <w:t xml:space="preserve">Root cause</w:t>
            </w:r>
          </w:p>
          <w:p>
            <w:pPr>
              <w:spacing w:after="30" w:before="0"/>
              <w:jc w:val="center"/>
            </w:pPr>
            <w:r>
              <w:rPr>
                <w:rFonts w:ascii="Calibri" w:cs="Calibri" w:eastAsia="Calibri" w:hAnsi="Calibri"/>
                <w:b w:val="false"/>
                <w:bCs w:val="false"/>
                <w:i w:val="false"/>
                <w:iCs w:val="false"/>
                <w:color w:val="525252"/>
                <w:sz w:val="17"/>
                <w:szCs w:val="17"/>
              </w:rPr>
              <w:t xml:space="preserve">in minutes</w:t>
            </w:r>
          </w:p>
          <w:p>
            <w:pPr>
              <w:spacing w:after="60" w:before="0"/>
            </w:pPr>
            <w:r>
              <w:rPr>
                <w:rFonts w:ascii="Calibri" w:cs="Calibri" w:eastAsia="Calibri" w:hAnsi="Calibri"/>
                <w:sz w:val="8"/>
                <w:szCs w:val="8"/>
              </w:rPr>
              <w:t xml:space="preserve"/>
            </w:r>
          </w:p>
        </w:tc>
        <w:tc>
          <w:tcPr>
            <w:tcW w:type="dxa" w:w="1872"/>
            <w:tcBorders>
              <w:top w:val="single" w:color="007D79"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D79"/>
                <w:sz w:val="14"/>
                <w:szCs w:val="14"/>
              </w:rPr>
              <w:t xml:space="preserve">STEP 4</w:t>
            </w:r>
          </w:p>
          <w:p>
            <w:pPr>
              <w:spacing w:after="60" w:before="0"/>
              <w:jc w:val="center"/>
            </w:pPr>
            <w:r>
              <w:rPr>
                <w:rFonts w:ascii="Calibri" w:cs="Calibri" w:eastAsia="Calibri" w:hAnsi="Calibri"/>
                <w:b/>
                <w:bCs/>
                <w:i w:val="false"/>
                <w:iCs w:val="false"/>
                <w:color w:val="001141"/>
                <w:sz w:val="19"/>
                <w:szCs w:val="19"/>
              </w:rPr>
              <w:t xml:space="preserve">Resolve</w:t>
            </w:r>
          </w:p>
          <w:p>
            <w:pPr>
              <w:spacing w:after="30" w:before="0"/>
              <w:jc w:val="center"/>
            </w:pPr>
            <w:r>
              <w:rPr>
                <w:rFonts w:ascii="Calibri" w:cs="Calibri" w:eastAsia="Calibri" w:hAnsi="Calibri"/>
                <w:b w:val="false"/>
                <w:bCs w:val="false"/>
                <w:i w:val="false"/>
                <w:iCs w:val="false"/>
                <w:color w:val="525252"/>
                <w:sz w:val="17"/>
                <w:szCs w:val="17"/>
              </w:rPr>
              <w:t xml:space="preserve">Self-heal P3/P4</w:t>
            </w:r>
          </w:p>
          <w:p>
            <w:pPr>
              <w:spacing w:after="30" w:before="0"/>
              <w:jc w:val="center"/>
            </w:pPr>
            <w:r>
              <w:rPr>
                <w:rFonts w:ascii="Calibri" w:cs="Calibri" w:eastAsia="Calibri" w:hAnsi="Calibri"/>
                <w:b w:val="false"/>
                <w:bCs w:val="false"/>
                <w:i w:val="false"/>
                <w:iCs w:val="false"/>
                <w:color w:val="525252"/>
                <w:sz w:val="17"/>
                <w:szCs w:val="17"/>
              </w:rPr>
              <w:t xml:space="preserve">Zero touch</w:t>
            </w:r>
          </w:p>
          <w:p>
            <w:pPr>
              <w:spacing w:after="60" w:before="0"/>
            </w:pPr>
            <w:r>
              <w:rPr>
                <w:rFonts w:ascii="Calibri" w:cs="Calibri" w:eastAsia="Calibri" w:hAnsi="Calibri"/>
                <w:sz w:val="8"/>
                <w:szCs w:val="8"/>
              </w:rPr>
              <w:t xml:space="preserve"/>
            </w:r>
          </w:p>
        </w:tc>
        <w:tc>
          <w:tcPr>
            <w:tcW w:type="dxa" w:w="1872"/>
            <w:tcBorders>
              <w:top w:val="single" w:color="005D5D"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5D5D"/>
                <w:sz w:val="14"/>
                <w:szCs w:val="14"/>
              </w:rPr>
              <w:t xml:space="preserve">STEP 5</w:t>
            </w:r>
          </w:p>
          <w:p>
            <w:pPr>
              <w:spacing w:after="60" w:before="0"/>
              <w:jc w:val="center"/>
            </w:pPr>
            <w:r>
              <w:rPr>
                <w:rFonts w:ascii="Calibri" w:cs="Calibri" w:eastAsia="Calibri" w:hAnsi="Calibri"/>
                <w:b/>
                <w:bCs/>
                <w:i w:val="false"/>
                <w:iCs w:val="false"/>
                <w:color w:val="001141"/>
                <w:sz w:val="19"/>
                <w:szCs w:val="19"/>
              </w:rPr>
              <w:t xml:space="preserve">Learn</w:t>
            </w:r>
          </w:p>
          <w:p>
            <w:pPr>
              <w:spacing w:after="30" w:before="0"/>
              <w:jc w:val="center"/>
            </w:pPr>
            <w:r>
              <w:rPr>
                <w:rFonts w:ascii="Calibri" w:cs="Calibri" w:eastAsia="Calibri" w:hAnsi="Calibri"/>
                <w:b w:val="false"/>
                <w:bCs w:val="false"/>
                <w:i w:val="false"/>
                <w:iCs w:val="false"/>
                <w:color w:val="525252"/>
                <w:sz w:val="17"/>
                <w:szCs w:val="17"/>
              </w:rPr>
              <w:t xml:space="preserve">Update runbooks</w:t>
            </w:r>
          </w:p>
          <w:p>
            <w:pPr>
              <w:spacing w:after="30" w:before="0"/>
              <w:jc w:val="center"/>
            </w:pPr>
            <w:r>
              <w:rPr>
                <w:rFonts w:ascii="Calibri" w:cs="Calibri" w:eastAsia="Calibri" w:hAnsi="Calibri"/>
                <w:b w:val="false"/>
                <w:bCs w:val="false"/>
                <w:i w:val="false"/>
                <w:iCs w:val="false"/>
                <w:color w:val="525252"/>
                <w:sz w:val="17"/>
                <w:szCs w:val="17"/>
              </w:rPr>
              <w:t xml:space="preserve">Prevent repeat</w:t>
            </w:r>
          </w:p>
          <w:p>
            <w:pPr>
              <w:spacing w:after="60" w:before="0"/>
            </w:pPr>
            <w:r>
              <w:rPr>
                <w:rFonts w:ascii="Calibri" w:cs="Calibri" w:eastAsia="Calibri" w:hAnsi="Calibri"/>
                <w:sz w:val="8"/>
                <w:szCs w:val="8"/>
              </w:rPr>
              <w:t xml:space="preserve"/>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&gt;74%</w:t>
            </w:r>
          </w:p>
          <w:p>
            <w:pPr>
              <w:spacing w:after="120" w:before="0"/>
              <w:jc w:val="center"/>
            </w:pPr>
            <w:r>
              <w:rPr>
                <w:rFonts w:ascii="Calibri" w:cs="Calibri" w:eastAsia="Calibri" w:hAnsi="Calibri"/>
                <w:b/>
                <w:bCs/>
                <w:i w:val="false"/>
                <w:iCs w:val="false"/>
                <w:color w:val="001141"/>
                <w:sz w:val="17"/>
                <w:szCs w:val="17"/>
              </w:rPr>
              <w:t xml:space="preserve">P3/P4 Auto-Resolved</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&gt;60%</w:t>
            </w:r>
          </w:p>
          <w:p>
            <w:pPr>
              <w:spacing w:after="120" w:before="0"/>
              <w:jc w:val="center"/>
            </w:pPr>
            <w:r>
              <w:rPr>
                <w:rFonts w:ascii="Calibri" w:cs="Calibri" w:eastAsia="Calibri" w:hAnsi="Calibri"/>
                <w:b/>
                <w:bCs/>
                <w:i w:val="false"/>
                <w:iCs w:val="false"/>
                <w:color w:val="001141"/>
                <w:sz w:val="17"/>
                <w:szCs w:val="17"/>
              </w:rPr>
              <w:t xml:space="preserve">Alert Noise Reduced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99.9%+</w:t>
            </w:r>
          </w:p>
          <w:p>
            <w:pPr>
              <w:spacing w:after="120" w:before="0"/>
              <w:jc w:val="center"/>
            </w:pPr>
            <w:r>
              <w:rPr>
                <w:rFonts w:ascii="Calibri" w:cs="Calibri" w:eastAsia="Calibri" w:hAnsi="Calibri"/>
                <w:b/>
                <w:bCs/>
                <w:i w:val="false"/>
                <w:iCs w:val="false"/>
                <w:color w:val="001141"/>
                <w:sz w:val="17"/>
                <w:szCs w:val="17"/>
              </w:rPr>
              <w:t xml:space="preserve">Availability Target</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&lt;1.8 hrs</w:t>
            </w:r>
          </w:p>
          <w:p>
            <w:pPr>
              <w:spacing w:after="120" w:before="0"/>
              <w:jc w:val="center"/>
            </w:pPr>
            <w:r>
              <w:rPr>
                <w:rFonts w:ascii="Calibri" w:cs="Calibri" w:eastAsia="Calibri" w:hAnsi="Calibri"/>
                <w:b/>
                <w:bCs/>
                <w:i w:val="false"/>
                <w:iCs w:val="false"/>
                <w:color w:val="001141"/>
                <w:sz w:val="17"/>
                <w:szCs w:val="17"/>
              </w:rPr>
              <w:t xml:space="preserve">Mean Time to Resolve</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05  </w:t>
      </w:r>
      <w:r>
        <w:rPr>
          <w:rFonts w:ascii="Calibri" w:cs="Calibri" w:eastAsia="Calibri" w:hAnsi="Calibri"/>
          <w:b/>
          <w:bCs/>
          <w:i w:val="false"/>
          <w:iCs w:val="false"/>
          <w:color w:val="001141"/>
          <w:sz w:val="32"/>
          <w:szCs w:val="32"/>
        </w:rPr>
        <w:t xml:space="preserve">Quality Engineering</w:t>
      </w:r>
    </w:p>
    <w:p>
      <w:pPr>
        <w:spacing w:after="120" w:before="0"/>
      </w:pPr>
      <w:r>
        <w:rPr>
          <w:rFonts w:ascii="Calibri" w:cs="Calibri" w:eastAsia="Calibri" w:hAnsi="Calibri"/>
          <w:b w:val="false"/>
          <w:bCs w:val="false"/>
          <w:i/>
          <w:iCs/>
          <w:color w:val="8D8D8D"/>
          <w:sz w:val="19"/>
          <w:szCs w:val="19"/>
        </w:rPr>
        <w:t xml:space="preserve">Measurable Quality at Every Milestone — Improved with Every Release</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undetected defect in a claims system is a patient who doesn’t get care on time. Every missed test is a provider who submits correctly and gets denied. Quality is not a phase. Quality is the promise.”</w:t>
      </w:r>
    </w:p>
    <w:p>
      <w:pPr>
        <w:spacing w:after="100" w:before="0"/>
        <w:jc w:val="right"/>
      </w:pPr>
      <w:r>
        <w:rPr>
          <w:rFonts w:ascii="Calibri" w:cs="Calibri" w:eastAsia="Calibri" w:hAnsi="Calibri"/>
          <w:b/>
          <w:bCs/>
          <w:i w:val="false"/>
          <w:iCs w:val="false"/>
          <w:color w:val="0F62FE"/>
          <w:sz w:val="17"/>
          <w:szCs w:val="17"/>
        </w:rPr>
        <w:t xml:space="preserve">— IBM Quality Engineering</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Self-Improving Framework</w:t>
            </w:r>
          </w:p>
          <w:p>
            <w:pPr>
              <w:spacing w:after="80" w:before="0"/>
            </w:pPr>
            <w:r>
              <w:rPr>
                <w:rFonts w:ascii="Calibri" w:cs="Calibri" w:eastAsia="Calibri" w:hAnsi="Calibri"/>
                <w:b w:val="false"/>
                <w:bCs w:val="false"/>
                <w:i w:val="false"/>
                <w:iCs w:val="false"/>
                <w:color w:val="525252"/>
                <w:sz w:val="20"/>
                <w:szCs w:val="20"/>
              </w:rPr>
              <w:t xml:space="preserve">Closed-loop feedback within CI/CD. Production insights, defect analytics, and automation metrics continuously refine testing — sustaining defect reduction with every release across ~1,000 applications.</w:t>
            </w:r>
          </w:p>
          <w:p>
            <w:pPr>
              <w:spacing w:after="60" w:before="80"/>
            </w:pPr>
            <w:r>
              <w:rPr>
                <w:rFonts w:ascii="Calibri" w:cs="Calibri" w:eastAsia="Calibri" w:hAnsi="Calibri"/>
                <w:b/>
                <w:bCs/>
                <w:i w:val="false"/>
                <w:iCs w:val="false"/>
                <w:color w:val="001141"/>
                <w:sz w:val="22"/>
                <w:szCs w:val="22"/>
              </w:rPr>
              <w:t xml:space="preserve">AI-Powered Capabilities</w:t>
            </w:r>
          </w:p>
          <w:p>
            <w:pPr>
              <w:spacing w:after="40" w:before="100"/>
            </w:pPr>
            <w:r>
              <w:rPr>
                <w:rFonts w:ascii="Calibri" w:cs="Calibri" w:eastAsia="Calibri" w:hAnsi="Calibri"/>
                <w:b/>
                <w:bCs/>
                <w:i w:val="false"/>
                <w:iCs w:val="false"/>
                <w:color w:val="0F62FE"/>
                <w:sz w:val="20"/>
                <w:szCs w:val="20"/>
              </w:rPr>
              <w:t xml:space="preserve">GenAI Test Generation</w:t>
            </w:r>
          </w:p>
          <w:p>
            <w:pPr>
              <w:spacing w:after="80" w:before="0"/>
            </w:pPr>
            <w:r>
              <w:rPr>
                <w:rFonts w:ascii="Calibri" w:cs="Calibri" w:eastAsia="Calibri" w:hAnsi="Calibri"/>
                <w:b w:val="false"/>
                <w:bCs w:val="false"/>
                <w:i w:val="false"/>
                <w:iCs w:val="false"/>
                <w:color w:val="525252"/>
                <w:sz w:val="19"/>
                <w:szCs w:val="19"/>
              </w:rPr>
              <w:t xml:space="preserve">AI synthesises tests from code changes at commit speed. Coverage grows without manual test plans.</w:t>
            </w:r>
          </w:p>
          <w:p>
            <w:pPr>
              <w:spacing w:after="40" w:before="100"/>
            </w:pPr>
            <w:r>
              <w:rPr>
                <w:rFonts w:ascii="Calibri" w:cs="Calibri" w:eastAsia="Calibri" w:hAnsi="Calibri"/>
                <w:b/>
                <w:bCs/>
                <w:i w:val="false"/>
                <w:iCs w:val="false"/>
                <w:color w:val="0F62FE"/>
                <w:sz w:val="20"/>
                <w:szCs w:val="20"/>
              </w:rPr>
              <w:t xml:space="preserve">Defect Prediction</w:t>
            </w:r>
          </w:p>
          <w:p>
            <w:pPr>
              <w:spacing w:after="80" w:before="0"/>
            </w:pPr>
            <w:r>
              <w:rPr>
                <w:rFonts w:ascii="Calibri" w:cs="Calibri" w:eastAsia="Calibri" w:hAnsi="Calibri"/>
                <w:b w:val="false"/>
                <w:bCs w:val="false"/>
                <w:i w:val="false"/>
                <w:iCs w:val="false"/>
                <w:color w:val="525252"/>
                <w:sz w:val="19"/>
                <w:szCs w:val="19"/>
              </w:rPr>
              <w:t xml:space="preserve">Models trained on Horizon’s incident history identify high-risk paths before UAT.</w:t>
            </w:r>
          </w:p>
          <w:p>
            <w:pPr>
              <w:spacing w:after="40" w:before="100"/>
            </w:pPr>
            <w:r>
              <w:rPr>
                <w:rFonts w:ascii="Calibri" w:cs="Calibri" w:eastAsia="Calibri" w:hAnsi="Calibri"/>
                <w:b/>
                <w:bCs/>
                <w:i w:val="false"/>
                <w:iCs w:val="false"/>
                <w:color w:val="0F62FE"/>
                <w:sz w:val="20"/>
                <w:szCs w:val="20"/>
              </w:rPr>
              <w:t xml:space="preserve">Production Feedback Loop</w:t>
            </w:r>
          </w:p>
          <w:p>
            <w:pPr>
              <w:spacing w:after="80" w:before="0"/>
            </w:pPr>
            <w:r>
              <w:rPr>
                <w:rFonts w:ascii="Calibri" w:cs="Calibri" w:eastAsia="Calibri" w:hAnsi="Calibri"/>
                <w:b w:val="false"/>
                <w:bCs w:val="false"/>
                <w:i w:val="false"/>
                <w:iCs w:val="false"/>
                <w:color w:val="525252"/>
                <w:sz w:val="19"/>
                <w:szCs w:val="19"/>
              </w:rPr>
              <w:t xml:space="preserve">Every production defect teaches the engine. The net tightens automatically every release.</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Quality Controls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End-to-end traceability and release readiness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Defect leakage, density, stability metrics (MTTR)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coverage with KPI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defect insights and regression optimisation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Production telemetry feeding back into test strategy</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Target: 80%+ test automation in 12 months</w:t>
            </w:r>
          </w:p>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Coverage Journey</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0</w:t>
                  </w:r>
                </w:p>
              </w:tc>
              <w:tc>
                <w:tcPr>
                  <w:tcW w:type="dxa" w:w="1350"/>
                  <w:tcBorders>
                    <w:top w:val="none" w:color="auto" w:sz="0"/>
                    <w:left w:val="none" w:color="auto" w:sz="0"/>
                    <w:bottom w:val="none" w:color="auto" w:sz="0"/>
                    <w:right w:val="none" w:color="auto" w:sz="0"/>
                  </w:tcBorders>
                  <w:shd w:fill="8D8D8D" w:val="clear"/>
                </w:tcPr>
                <w:p>
                  <w:pPr>
                    <w:spacing w:after="0" w:before="0"/>
                  </w:pPr>
                  <w:r>
                    <w:rPr>
                      <w:rFonts w:ascii="Calibri" w:cs="Calibri" w:eastAsia="Calibri" w:hAnsi="Calibri"/>
                      <w:sz w:val="8"/>
                      <w:szCs w:val="8"/>
                    </w:rPr>
                    <w:t xml:space="preserve"/>
                  </w:r>
                </w:p>
              </w:tc>
              <w:tc>
                <w:tcPr>
                  <w:tcW w:type="dxa" w:w="40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8D8D8D"/>
                      <w:sz w:val="18"/>
                      <w:szCs w:val="18"/>
                    </w:rPr>
                    <w:t xml:space="preserve">~25%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2430"/>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297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45%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297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243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55%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9</w:t>
                  </w:r>
                </w:p>
              </w:tc>
              <w:tc>
                <w:tcPr>
                  <w:tcW w:type="dxa" w:w="3888"/>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51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72%</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4428"/>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97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80%+</w:t>
                  </w:r>
                </w:p>
              </w:tc>
            </w:tr>
          </w:tbl>
          <w:p/>
        </w:tc>
      </w:tr>
    </w:tbl>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Quality Metrics — Before &amp; After</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49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6-Mo</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12-Mo</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Method</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55%</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GenAI self-generating tests</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High</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 defect prediction</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50% faster</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Intelligent test selection</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Time to Detect</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2 hrs</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&lt; 30 min</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15 min</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AIOps + telemetry</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AI Test Cases</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IBM Consulting Advantage</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Leakage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Quarterly</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Monthly SLA</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Zero-leakage</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End-to-end traceability</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06  </w:t>
      </w:r>
      <w:r>
        <w:rPr>
          <w:rFonts w:ascii="Calibri" w:cs="Calibri" w:eastAsia="Calibri" w:hAnsi="Calibri"/>
          <w:b/>
          <w:bCs/>
          <w:i w:val="false"/>
          <w:iCs w:val="false"/>
          <w:color w:val="001141"/>
          <w:sz w:val="32"/>
          <w:szCs w:val="32"/>
        </w:rPr>
        <w:t xml:space="preserve">Member &amp; Provider Experience</w:t>
      </w:r>
    </w:p>
    <w:p>
      <w:pPr>
        <w:spacing w:after="120" w:before="0"/>
      </w:pPr>
      <w:r>
        <w:rPr>
          <w:rFonts w:ascii="Calibri" w:cs="Calibri" w:eastAsia="Calibri" w:hAnsi="Calibri"/>
          <w:b w:val="false"/>
          <w:bCs w:val="false"/>
          <w:i/>
          <w:iCs/>
          <w:color w:val="8D8D8D"/>
          <w:sz w:val="19"/>
          <w:szCs w:val="19"/>
        </w:rPr>
        <w:t xml:space="preserve">Every Operational Improvement Measured by the Human It Serves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best technology is invisible to the member. The claim processes correctly. The prior auth comes back in hours, not days. The enrollment is seamless. That is the measure. Everything else is infrastructure.”</w:t>
      </w:r>
    </w:p>
    <w:p>
      <w:pPr>
        <w:spacing w:after="100" w:before="0"/>
        <w:jc w:val="right"/>
      </w:pPr>
      <w:r>
        <w:rPr>
          <w:rFonts w:ascii="Calibri" w:cs="Calibri" w:eastAsia="Calibri" w:hAnsi="Calibri"/>
          <w:b/>
          <w:bCs/>
          <w:i w:val="false"/>
          <w:iCs w:val="false"/>
          <w:color w:val="0F62FE"/>
          <w:sz w:val="17"/>
          <w:szCs w:val="17"/>
        </w:rPr>
        <w:t xml:space="preserve">— IBM — Healthcare Payer Design</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Claims Operations</w:t>
            </w:r>
          </w:p>
          <w:p>
            <w:pPr>
              <w:spacing w:after="80" w:before="0"/>
            </w:pPr>
            <w:r>
              <w:rPr>
                <w:rFonts w:ascii="Calibri" w:cs="Calibri" w:eastAsia="Calibri" w:hAnsi="Calibri"/>
                <w:b w:val="false"/>
                <w:bCs w:val="false"/>
                <w:i w:val="false"/>
                <w:iCs w:val="false"/>
                <w:color w:val="525252"/>
                <w:sz w:val="20"/>
                <w:szCs w:val="20"/>
              </w:rPr>
              <w:t xml:space="preserve">Real-time visibility from receipt through adjudication, settlement, and denial management via CareOps360.</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 auto-adjudication rules engine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Denial pattern analytics by procedure, eligibility, COB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dashboard: volume, TAT, denial drivers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SLA-bound adjudication commitments</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Enrollment Intelligence</w:t>
            </w:r>
          </w:p>
          <w:p>
            <w:pPr>
              <w:spacing w:after="80" w:before="0"/>
            </w:pPr>
            <w:r>
              <w:rPr>
                <w:rFonts w:ascii="Calibri" w:cs="Calibri" w:eastAsia="Calibri" w:hAnsi="Calibri"/>
                <w:b w:val="false"/>
                <w:bCs w:val="false"/>
                <w:i w:val="false"/>
                <w:iCs w:val="false"/>
                <w:color w:val="525252"/>
                <w:sz w:val="20"/>
                <w:szCs w:val="20"/>
              </w:rPr>
              <w:t xml:space="preserve">Transform reactive batch enrollment into proactive, real-time, AI-augmented operations.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Canonical 834 transformation at intake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validation — errors in minutes, not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Shift-left member mastering — COB resolved earlier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remediation with confidence scoring</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Prior Authorization</w:t>
            </w:r>
          </w:p>
          <w:p>
            <w:pPr>
              <w:spacing w:after="80" w:before="0"/>
            </w:pPr>
            <w:r>
              <w:rPr>
                <w:rFonts w:ascii="Calibri" w:cs="Calibri" w:eastAsia="Calibri" w:hAnsi="Calibri"/>
                <w:b w:val="false"/>
                <w:bCs w:val="false"/>
                <w:i w:val="false"/>
                <w:iCs w:val="false"/>
                <w:color w:val="525252"/>
                <w:sz w:val="20"/>
                <w:szCs w:val="20"/>
              </w:rPr>
              <w:t xml:space="preserve">AI-assisted review: triage, auto-approve low-risk, flag complex cases for expedited human review.</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15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2246"/>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Review Hours</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−30%+</w:t>
                  </w:r>
                </w:p>
              </w:tc>
            </w:tr>
            <w:tr>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Urgent SLA</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100% within 72 hrs</w:t>
                  </w:r>
                </w:p>
              </w:tc>
            </w:tr>
            <w:tr>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Backlog</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Monthly reduction</w:t>
                  </w:r>
                </w:p>
              </w:tc>
            </w:tr>
            <w:tr>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Auto-Approval</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&gt;40% by Month 12</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Business Domain KPIs</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187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936"/>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Cycle time</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−30%</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Enrollment</w:t>
                  </w:r>
                </w:p>
              </w:tc>
              <w:tc>
                <w:tcPr>
                  <w:tcW w:type="dxa" w:w="187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−40%</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First-contact res.</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+25%</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Provider</w:t>
                  </w:r>
                </w:p>
              </w:tc>
              <w:tc>
                <w:tcPr>
                  <w:tcW w:type="dxa" w:w="187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Auth auto-approve</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&gt;40%</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IT Ops</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Auto-resolution</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&gt;74%</w:t>
                  </w:r>
                </w:p>
              </w:tc>
            </w:tr>
          </w:tbl>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07  </w:t>
      </w:r>
      <w:r>
        <w:rPr>
          <w:rFonts w:ascii="Calibri" w:cs="Calibri" w:eastAsia="Calibri" w:hAnsi="Calibri"/>
          <w:b/>
          <w:bCs/>
          <w:i w:val="false"/>
          <w:iCs w:val="false"/>
          <w:color w:val="001141"/>
          <w:sz w:val="32"/>
          <w:szCs w:val="32"/>
        </w:rPr>
        <w:t xml:space="preserve">CareOps360 &amp; Governance</w:t>
      </w:r>
    </w:p>
    <w:p>
      <w:pPr>
        <w:spacing w:after="120" w:before="0"/>
      </w:pPr>
      <w:r>
        <w:rPr>
          <w:rFonts w:ascii="Calibri" w:cs="Calibri" w:eastAsia="Calibri" w:hAnsi="Calibri"/>
          <w:b w:val="false"/>
          <w:bCs w:val="false"/>
          <w:i/>
          <w:iCs/>
          <w:color w:val="8D8D8D"/>
          <w:sz w:val="19"/>
          <w:szCs w:val="19"/>
        </w:rPr>
        <w:t xml:space="preserve">Real-Time Executive Visibility  ·  No Manual Reporting  ·  Live Data, Always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“Horizon’s leadership should never ask ‘how are we doing?’ and wait for a deck. The answer should be live, accurate, and one click away — every hour of every day.”</w:t>
      </w:r>
    </w:p>
    <w:p>
      <w:pPr>
        <w:spacing w:after="100" w:before="0"/>
        <w:jc w:val="right"/>
      </w:pPr>
      <w:r>
        <w:rPr>
          <w:rFonts w:ascii="Calibri" w:cs="Calibri" w:eastAsia="Calibri" w:hAnsi="Calibri"/>
          <w:b/>
          <w:bCs/>
          <w:i w:val="false"/>
          <w:iCs w:val="false"/>
          <w:color w:val="0F62FE"/>
          <w:sz w:val="17"/>
          <w:szCs w:val="17"/>
        </w:rPr>
        <w:t xml:space="preserve">— IBM — Executive Visibility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Is CareOps360?</w:t>
            </w:r>
          </w:p>
          <w:p>
            <w:pPr>
              <w:spacing w:after="80" w:before="0"/>
            </w:pPr>
            <w:r>
              <w:rPr>
                <w:rFonts w:ascii="Calibri" w:cs="Calibri" w:eastAsia="Calibri" w:hAnsi="Calibri"/>
                <w:b w:val="false"/>
                <w:bCs w:val="false"/>
                <w:i w:val="false"/>
                <w:iCs w:val="false"/>
                <w:color w:val="525252"/>
                <w:sz w:val="20"/>
                <w:szCs w:val="20"/>
              </w:rPr>
              <w:t xml:space="preserve">IBM’s production-grade executive operations platform — real-time intelligence across all AMS towers through a single command center. Deployed in production-equivalent environment; architecture-ready for live data.</w:t>
            </w:r>
          </w:p>
          <w:p>
            <w:pPr>
              <w:spacing w:after="60" w:before="80"/>
            </w:pPr>
            <w:r>
              <w:rPr>
                <w:rFonts w:ascii="Calibri" w:cs="Calibri" w:eastAsia="Calibri" w:hAnsi="Calibri"/>
                <w:b/>
                <w:bCs/>
                <w:i w:val="false"/>
                <w:iCs w:val="false"/>
                <w:color w:val="001141"/>
                <w:sz w:val="22"/>
                <w:szCs w:val="22"/>
              </w:rPr>
              <w:t xml:space="preserve">Dashboards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Executive Overview — 8 real-time KPI tiles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Application Health — ~1,000 app inventory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Claims Operations — Volume, queue, denials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Prior Auth — Backlog, SLA, approval rates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Enrollment Intelligence — Pipeline, surge detection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Member Services — ASA, FCR, chatbot containment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AIOps Value — Savings, shift-left, self-heal</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Transformation Roadmap — 60 initiatives tracked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Capability Uplift — Certifications, AI readiness</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Metrics Tracked</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What’s Tracked</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App Ops</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Availability, MTTR, incidents</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Claims</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Volume, TAT, denial drivers</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Prior Auth</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Backlog, SLA, auto-approval</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Enrollment</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 queue health</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Member Svc</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ASA, FCR, digital adoption</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AIOps</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Savings, self-heal events</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Transform</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Phase progress, risk, velocity</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Governance Cadence</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Forum</w:t>
                  </w:r>
                </w:p>
              </w:tc>
              <w:tc>
                <w:tcPr>
                  <w:tcW w:type="dxa" w:w="936"/>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Cadence</w:t>
                  </w:r>
                </w:p>
              </w:tc>
              <w:tc>
                <w:tcPr>
                  <w:tcW w:type="dxa" w:w="215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Focus</w:t>
                  </w:r>
                </w:p>
              </w:tc>
            </w:tr>
            <w:tr>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Ops Review</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Weekly</w:t>
                  </w:r>
                </w:p>
              </w:tc>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SLA, MTTR, pipeline velocity</w:t>
                  </w:r>
                </w:p>
              </w:tc>
            </w:tr>
            <w:tr>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Exec Briefing</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Monthly</w:t>
                  </w:r>
                </w:p>
              </w:tc>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Cost takeout, automation, KPIs</w:t>
                  </w:r>
                </w:p>
              </w:tc>
            </w:tr>
            <w:tr>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Board / ELT</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Quarterly</w:t>
                  </w:r>
                </w:p>
              </w:tc>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Total value, innovation roadmap</w:t>
                  </w:r>
                </w:p>
              </w:tc>
            </w:tr>
          </w:tbl>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Access &amp; Security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Role-based access · Token-authenticated sessions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HIPAA-compliant · No PHI in command center</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08  </w:t>
      </w:r>
      <w:r>
        <w:rPr>
          <w:rFonts w:ascii="Calibri" w:cs="Calibri" w:eastAsia="Calibri" w:hAnsi="Calibri"/>
          <w:b/>
          <w:bCs/>
          <w:i w:val="false"/>
          <w:iCs w:val="false"/>
          <w:color w:val="001141"/>
          <w:sz w:val="32"/>
          <w:szCs w:val="32"/>
        </w:rPr>
        <w:t xml:space="preserve">Phased Delivery Roadmap</w:t>
      </w:r>
    </w:p>
    <w:p>
      <w:pPr>
        <w:spacing w:after="120" w:before="0"/>
      </w:pPr>
      <w:r>
        <w:rPr>
          <w:rFonts w:ascii="Calibri" w:cs="Calibri" w:eastAsia="Calibri" w:hAnsi="Calibri"/>
          <w:b w:val="false"/>
          <w:bCs w:val="false"/>
          <w:i/>
          <w:iCs/>
          <w:color w:val="8D8D8D"/>
          <w:sz w:val="19"/>
          <w:szCs w:val="19"/>
        </w:rPr>
        <w:t xml:space="preserve">Risk-Controlled  ·  Compounding Value  ·  Zero Disruption</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day a claim processes faster, a prior auth returns sooner, or an outage resolves before a provider notices — that is a day Horizon’s members experience the IBM difference. That starts in Week 1, not Year 2.”</w:t>
      </w:r>
    </w:p>
    <w:p>
      <w:pPr>
        <w:spacing w:after="100" w:before="0"/>
        <w:jc w:val="right"/>
      </w:pPr>
      <w:r>
        <w:rPr>
          <w:rFonts w:ascii="Calibri" w:cs="Calibri" w:eastAsia="Calibri" w:hAnsi="Calibri"/>
          <w:b/>
          <w:bCs/>
          <w:i w:val="false"/>
          <w:iCs w:val="false"/>
          <w:color w:val="0F62FE"/>
          <w:sz w:val="17"/>
          <w:szCs w:val="17"/>
        </w:rPr>
        <w:t xml:space="preserve">— IBM Delivery Governance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217"/>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Phase</w:t>
            </w:r>
          </w:p>
        </w:tc>
        <w:tc>
          <w:tcPr>
            <w:tcW w:type="dxa" w:w="84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w:t>
            </w:r>
          </w:p>
        </w:tc>
        <w:tc>
          <w:tcPr>
            <w:tcW w:type="dxa" w:w="449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Key Deliverables</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Value Signal</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0
Foundation</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0–8 Wk</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CareOps360 live  ·  AIOps baseline  ·  Transition plan  ·  AI dev + QA rollout  ·  Innovation Council</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Dashboards live  ·  Baselines agreed  ·  Zero BAU disruption</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1
Ignite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1–3</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AIOps on production  ·  Test automation framework  ·  GenAI dev lifecycle  ·  Integration simplification</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MTTR −20%  ·  First automation ROI  ·  QE 45%</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2
Scale</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3–6</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Agentic triage live  ·  COBOL→Java pilot  ·  Mainframe modernization  ·  Digital Front Door blueprint</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Auto-resolve &gt;50%  ·  Defect escape −40%  ·  $3–5M</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3
Optimize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6–12</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incident autonomy  ·  Claims adjudication parallel run  ·  Predictive capacity  ·  QE 80%+</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$6–10M takeout  ·  MTTR &lt;1.8 hrs  ·  99.9%+</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4
Transform</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Yr 1–2</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autonomous P3/P4  ·  Enterprise observability  ·  Mainframe migration  ·  Member front door live</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40–50% cost takeout  ·  $12–18M+ total</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Transformation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60 initiatives across 3 delivery years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25 Year 1 — Technical Debt, Digital, Payer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15 Active / In-Flight at launch</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tracked live in CareOps360</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Modernization Roadmap</w:t>
            </w:r>
          </w:p>
          <w:tbl>
            <w:tblPr>
              <w:tblW w:type="dxa" w:w="2714"/>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Workstream</w:t>
                  </w:r>
                </w:p>
              </w:tc>
              <w:tc>
                <w:tcPr>
                  <w:tcW w:type="dxa" w:w="112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Timeline</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Eligibility</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Q2–Q4 2026</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COBOL→Java</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Payments</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 Engine</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Q1–Q2 2027</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 Data</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Q4 2026+</w:t>
                  </w:r>
                </w:p>
              </w:tc>
            </w:tr>
          </w:tbl>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Technical Debt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stacks maintained at n−1 (one behind LTS)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Quarterly version review: IBM + Horizon ARB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Monthly n−1 compliance report to CTO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P1 CVEs: emergency patch within 72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Year 1: 25 platform upgrades (Angular 17, .NET 8, ODM 9.2)</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Cumulative Value Trajectory</w:t>
            </w:r>
          </w:p>
          <w:tbl>
            <w:tblPr>
              <w:tblW w:type="dxa" w:w="4399"/>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648"/>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475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$1–2M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162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378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$3–5M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3240"/>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216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$6–10M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24</w:t>
                  </w:r>
                </w:p>
              </w:tc>
              <w:tc>
                <w:tcPr>
                  <w:tcW w:type="dxa" w:w="5400"/>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$12–18M+</w:t>
                  </w:r>
                </w:p>
              </w:tc>
            </w:tr>
          </w:tbl>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Assessed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COBOL→Java</w:t>
            </w:r>
          </w:p>
          <w:p>
            <w:pPr>
              <w:spacing w:after="120" w:before="0"/>
              <w:jc w:val="center"/>
            </w:pPr>
            <w:r>
              <w:rPr>
                <w:rFonts w:ascii="Calibri" w:cs="Calibri" w:eastAsia="Calibri" w:hAnsi="Calibri"/>
                <w:b/>
                <w:bCs/>
                <w:i w:val="false"/>
                <w:iCs w:val="false"/>
                <w:color w:val="001141"/>
                <w:sz w:val="17"/>
                <w:szCs w:val="17"/>
              </w:rPr>
              <w:t xml:space="preserve">AI-Assisted Conversion</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n−1/2</w:t>
            </w:r>
          </w:p>
          <w:p>
            <w:pPr>
              <w:spacing w:after="120" w:before="0"/>
              <w:jc w:val="center"/>
            </w:pPr>
            <w:r>
              <w:rPr>
                <w:rFonts w:ascii="Calibri" w:cs="Calibri" w:eastAsia="Calibri" w:hAnsi="Calibri"/>
                <w:b/>
                <w:bCs/>
                <w:i w:val="false"/>
                <w:iCs w:val="false"/>
                <w:color w:val="001141"/>
                <w:sz w:val="17"/>
                <w:szCs w:val="17"/>
              </w:rPr>
              <w:t xml:space="preserve">Stack Governance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Zero</w:t>
            </w:r>
          </w:p>
          <w:p>
            <w:pPr>
              <w:spacing w:after="120" w:before="0"/>
              <w:jc w:val="center"/>
            </w:pPr>
            <w:r>
              <w:rPr>
                <w:rFonts w:ascii="Calibri" w:cs="Calibri" w:eastAsia="Calibri" w:hAnsi="Calibri"/>
                <w:b/>
                <w:bCs/>
                <w:i w:val="false"/>
                <w:iCs w:val="false"/>
                <w:color w:val="001141"/>
                <w:sz w:val="17"/>
                <w:szCs w:val="17"/>
              </w:rPr>
              <w:t xml:space="preserve">Disruption Commitment</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09  </w:t>
      </w:r>
      <w:r>
        <w:rPr>
          <w:rFonts w:ascii="Calibri" w:cs="Calibri" w:eastAsia="Calibri" w:hAnsi="Calibri"/>
          <w:b/>
          <w:bCs/>
          <w:i w:val="false"/>
          <w:iCs w:val="false"/>
          <w:color w:val="001141"/>
          <w:sz w:val="32"/>
          <w:szCs w:val="32"/>
        </w:rPr>
        <w:t xml:space="preserve">Why IBM — and Why Now</w:t>
      </w:r>
    </w:p>
    <w:p>
      <w:pPr>
        <w:spacing w:after="120" w:before="0"/>
      </w:pPr>
      <w:r>
        <w:rPr>
          <w:rFonts w:ascii="Calibri" w:cs="Calibri" w:eastAsia="Calibri" w:hAnsi="Calibri"/>
          <w:b w:val="false"/>
          <w:bCs w:val="false"/>
          <w:i/>
          <w:iCs/>
          <w:color w:val="8D8D8D"/>
          <w:sz w:val="19"/>
          <w:szCs w:val="19"/>
        </w:rPr>
        <w:t xml:space="preserve">Scale, Depth, Skin in the Game &amp; Next Steps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“IBM’s ultimate accountability is not to a contract — it is to the 3.7 million members who rely on Horizon’s systems every day. The patient waiting for a prior auth. The provider navigating a claims dispute. The family enrolling for the first time.”</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Differentiates IBM</w:t>
            </w:r>
          </w:p>
          <w:p>
            <w:pPr>
              <w:spacing w:after="40" w:before="100"/>
            </w:pPr>
            <w:r>
              <w:rPr>
                <w:rFonts w:ascii="Calibri" w:cs="Calibri" w:eastAsia="Calibri" w:hAnsi="Calibri"/>
                <w:b/>
                <w:bCs/>
                <w:i w:val="false"/>
                <w:iCs w:val="false"/>
                <w:color w:val="0F62FE"/>
                <w:sz w:val="20"/>
                <w:szCs w:val="20"/>
              </w:rPr>
              <w:t xml:space="preserve">Skin in the Game</w:t>
            </w:r>
          </w:p>
          <w:p>
            <w:pPr>
              <w:spacing w:after="80" w:before="0"/>
            </w:pPr>
            <w:r>
              <w:rPr>
                <w:rFonts w:ascii="Calibri" w:cs="Calibri" w:eastAsia="Calibri" w:hAnsi="Calibri"/>
                <w:b w:val="false"/>
                <w:bCs w:val="false"/>
                <w:i w:val="false"/>
                <w:iCs w:val="false"/>
                <w:color w:val="525252"/>
                <w:sz w:val="19"/>
                <w:szCs w:val="19"/>
              </w:rPr>
              <w:t xml:space="preserve">Outcome-based SLAs. Targets missed trigger IBM remediation — not renegotiations. IBM carries the delivery risk.</w:t>
            </w:r>
          </w:p>
          <w:p>
            <w:pPr>
              <w:spacing w:after="40" w:before="100"/>
            </w:pPr>
            <w:r>
              <w:rPr>
                <w:rFonts w:ascii="Calibri" w:cs="Calibri" w:eastAsia="Calibri" w:hAnsi="Calibri"/>
                <w:b/>
                <w:bCs/>
                <w:i w:val="false"/>
                <w:iCs w:val="false"/>
                <w:color w:val="0F62FE"/>
                <w:sz w:val="20"/>
                <w:szCs w:val="20"/>
              </w:rPr>
              <w:t xml:space="preserve">AI at Depth</w:t>
            </w:r>
          </w:p>
          <w:p>
            <w:pPr>
              <w:spacing w:after="80" w:before="0"/>
            </w:pPr>
            <w:r>
              <w:rPr>
                <w:rFonts w:ascii="Calibri" w:cs="Calibri" w:eastAsia="Calibri" w:hAnsi="Calibri"/>
                <w:b w:val="false"/>
                <w:bCs w:val="false"/>
                <w:i w:val="false"/>
                <w:iCs w:val="false"/>
                <w:color w:val="525252"/>
                <w:sz w:val="19"/>
                <w:szCs w:val="19"/>
              </w:rPr>
              <w:t xml:space="preserve">Agentic AI, GenAI, AIOps production-proven at comparable payers. Live today, not future roadmap.</w:t>
            </w:r>
          </w:p>
          <w:p>
            <w:pPr>
              <w:spacing w:after="40" w:before="100"/>
            </w:pPr>
            <w:r>
              <w:rPr>
                <w:rFonts w:ascii="Calibri" w:cs="Calibri" w:eastAsia="Calibri" w:hAnsi="Calibri"/>
                <w:b/>
                <w:bCs/>
                <w:i w:val="false"/>
                <w:iCs w:val="false"/>
                <w:color w:val="0F62FE"/>
                <w:sz w:val="20"/>
                <w:szCs w:val="20"/>
              </w:rPr>
              <w:t xml:space="preserve">Consulting Advantage</w:t>
            </w:r>
          </w:p>
          <w:p>
            <w:pPr>
              <w:spacing w:after="80" w:before="0"/>
            </w:pPr>
            <w:r>
              <w:rPr>
                <w:rFonts w:ascii="Calibri" w:cs="Calibri" w:eastAsia="Calibri" w:hAnsi="Calibri"/>
                <w:b w:val="false"/>
                <w:bCs w:val="false"/>
                <w:i w:val="false"/>
                <w:iCs w:val="false"/>
                <w:color w:val="525252"/>
                <w:sz w:val="19"/>
                <w:szCs w:val="19"/>
              </w:rPr>
              <w:t xml:space="preserve">6,500+ production-tested assets. IBM Build on Bedrock (BOB). Accelerated value from Day 1.</w:t>
            </w:r>
          </w:p>
          <w:p>
            <w:pPr>
              <w:spacing w:after="40" w:before="100"/>
            </w:pPr>
            <w:r>
              <w:rPr>
                <w:rFonts w:ascii="Calibri" w:cs="Calibri" w:eastAsia="Calibri" w:hAnsi="Calibri"/>
                <w:b/>
                <w:bCs/>
                <w:i w:val="false"/>
                <w:iCs w:val="false"/>
                <w:color w:val="0F62FE"/>
                <w:sz w:val="20"/>
                <w:szCs w:val="20"/>
              </w:rPr>
              <w:t xml:space="preserve">Transformation Office</w:t>
            </w:r>
          </w:p>
          <w:p>
            <w:pPr>
              <w:spacing w:after="80" w:before="0"/>
            </w:pPr>
            <w:r>
              <w:rPr>
                <w:rFonts w:ascii="Calibri" w:cs="Calibri" w:eastAsia="Calibri" w:hAnsi="Calibri"/>
                <w:b w:val="false"/>
                <w:bCs w:val="false"/>
                <w:i w:val="false"/>
                <w:iCs w:val="false"/>
                <w:color w:val="525252"/>
                <w:sz w:val="19"/>
                <w:szCs w:val="19"/>
              </w:rPr>
              <w:t xml:space="preserve">Structured quarterly innovation. Governed, prioritized, business-case-backed. Not a slide — a programme.</w:t>
            </w:r>
          </w:p>
          <w:p>
            <w:pPr>
              <w:spacing w:after="40" w:before="100"/>
            </w:pPr>
            <w:r>
              <w:rPr>
                <w:rFonts w:ascii="Calibri" w:cs="Calibri" w:eastAsia="Calibri" w:hAnsi="Calibri"/>
                <w:b/>
                <w:bCs/>
                <w:i w:val="false"/>
                <w:iCs w:val="false"/>
                <w:color w:val="0F62FE"/>
                <w:sz w:val="20"/>
                <w:szCs w:val="20"/>
              </w:rPr>
              <w:t xml:space="preserve">Innovation Included</w:t>
            </w:r>
          </w:p>
          <w:p>
            <w:pPr>
              <w:spacing w:after="80" w:before="0"/>
            </w:pPr>
            <w:r>
              <w:rPr>
                <w:rFonts w:ascii="Calibri" w:cs="Calibri" w:eastAsia="Calibri" w:hAnsi="Calibri"/>
                <w:b w:val="false"/>
                <w:bCs w:val="false"/>
                <w:i w:val="false"/>
                <w:iCs w:val="false"/>
                <w:color w:val="525252"/>
                <w:sz w:val="19"/>
                <w:szCs w:val="19"/>
              </w:rPr>
              <w:t xml:space="preserve">AI tooling, sprints, accelerators built into base delivery. Not a future line item.</w:t>
            </w:r>
          </w:p>
        </w:tc>
        <w:tc>
          <w:tcPr>
            <w:tcW w:type="dxa" w:w="56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399"/>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Healthcare Payer Pedigree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9 of top 10 US health payers served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AWS Partner of the Year 2025</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Leader in Enterprise Software Quality &amp; Testing</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Gartner Leader: 7 Data &amp; AI Magic Quadrants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CMS &amp; HIPAA compliance expertise</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Next Steps</w:t>
            </w:r>
          </w:p>
          <w:p>
            <w:pPr>
              <w:spacing w:after="40" w:before="100"/>
            </w:pPr>
            <w:r>
              <w:rPr>
                <w:rFonts w:ascii="Calibri" w:cs="Calibri" w:eastAsia="Calibri" w:hAnsi="Calibri"/>
                <w:b/>
                <w:bCs/>
                <w:i w:val="false"/>
                <w:iCs w:val="false"/>
                <w:color w:val="0F62FE"/>
                <w:sz w:val="20"/>
                <w:szCs w:val="20"/>
              </w:rPr>
              <w:t xml:space="preserve">Weeks 1–2</w:t>
            </w:r>
          </w:p>
          <w:p>
            <w:pPr>
              <w:spacing w:after="80" w:before="0"/>
            </w:pPr>
            <w:r>
              <w:rPr>
                <w:rFonts w:ascii="Calibri" w:cs="Calibri" w:eastAsia="Calibri" w:hAnsi="Calibri"/>
                <w:b w:val="false"/>
                <w:bCs w:val="false"/>
                <w:i w:val="false"/>
                <w:iCs w:val="false"/>
                <w:color w:val="525252"/>
                <w:sz w:val="19"/>
                <w:szCs w:val="19"/>
              </w:rPr>
              <w:t xml:space="preserve">Executive alignment: IBM VP + Horizon CIO/COO confirm scope and governance.</w:t>
            </w:r>
          </w:p>
          <w:p>
            <w:pPr>
              <w:spacing w:after="40" w:before="100"/>
            </w:pPr>
            <w:r>
              <w:rPr>
                <w:rFonts w:ascii="Calibri" w:cs="Calibri" w:eastAsia="Calibri" w:hAnsi="Calibri"/>
                <w:b/>
                <w:bCs/>
                <w:i w:val="false"/>
                <w:iCs w:val="false"/>
                <w:color w:val="0F62FE"/>
                <w:sz w:val="20"/>
                <w:szCs w:val="20"/>
              </w:rPr>
              <w:t xml:space="preserve">Weeks 2–4</w:t>
            </w:r>
          </w:p>
          <w:p>
            <w:pPr>
              <w:spacing w:after="80" w:before="0"/>
            </w:pPr>
            <w:r>
              <w:rPr>
                <w:rFonts w:ascii="Calibri" w:cs="Calibri" w:eastAsia="Calibri" w:hAnsi="Calibri"/>
                <w:b w:val="false"/>
                <w:bCs w:val="false"/>
                <w:i w:val="false"/>
                <w:iCs w:val="false"/>
                <w:color w:val="525252"/>
                <w:sz w:val="19"/>
                <w:szCs w:val="19"/>
              </w:rPr>
              <w:t xml:space="preserve">Phase 0 SOW agreed. CareOps360 walkthrough. Innovation Council constituted.</w:t>
            </w:r>
          </w:p>
          <w:p>
            <w:pPr>
              <w:spacing w:after="40" w:before="100"/>
            </w:pPr>
            <w:r>
              <w:rPr>
                <w:rFonts w:ascii="Calibri" w:cs="Calibri" w:eastAsia="Calibri" w:hAnsi="Calibri"/>
                <w:b/>
                <w:bCs/>
                <w:i w:val="false"/>
                <w:iCs w:val="false"/>
                <w:color w:val="0F62FE"/>
                <w:sz w:val="20"/>
                <w:szCs w:val="20"/>
              </w:rPr>
              <w:t xml:space="preserve">Week 4</w:t>
            </w:r>
          </w:p>
          <w:p>
            <w:pPr>
              <w:spacing w:after="80" w:before="0"/>
            </w:pPr>
            <w:r>
              <w:rPr>
                <w:rFonts w:ascii="Calibri" w:cs="Calibri" w:eastAsia="Calibri" w:hAnsi="Calibri"/>
                <w:b w:val="false"/>
                <w:bCs w:val="false"/>
                <w:i w:val="false"/>
                <w:iCs w:val="false"/>
                <w:color w:val="525252"/>
                <w:sz w:val="19"/>
                <w:szCs w:val="19"/>
              </w:rPr>
              <w:t xml:space="preserve">Phase 0 live. IBM and Horizon operate as one integrated team.</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IBM is ready. Phase 0 mobilizes within 5 business days.</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20K+</w:t>
            </w:r>
          </w:p>
          <w:p>
            <w:pPr>
              <w:spacing w:after="120" w:before="0"/>
              <w:jc w:val="center"/>
            </w:pPr>
            <w:r>
              <w:rPr>
                <w:rFonts w:ascii="Calibri" w:cs="Calibri" w:eastAsia="Calibri" w:hAnsi="Calibri"/>
                <w:b/>
                <w:bCs/>
                <w:i w:val="false"/>
                <w:iCs w:val="false"/>
                <w:color w:val="001141"/>
                <w:sz w:val="17"/>
                <w:szCs w:val="17"/>
              </w:rPr>
              <w:t xml:space="preserve">AI Practitioners</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81K+</w:t>
            </w:r>
          </w:p>
          <w:p>
            <w:pPr>
              <w:spacing w:after="120" w:before="0"/>
              <w:jc w:val="center"/>
            </w:pPr>
            <w:r>
              <w:rPr>
                <w:rFonts w:ascii="Calibri" w:cs="Calibri" w:eastAsia="Calibri" w:hAnsi="Calibri"/>
                <w:b/>
                <w:bCs/>
                <w:i w:val="false"/>
                <w:iCs w:val="false"/>
                <w:color w:val="001141"/>
                <w:sz w:val="17"/>
                <w:szCs w:val="17"/>
              </w:rPr>
              <w:t xml:space="preserve">Cloud Experts</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40K+</w:t>
            </w:r>
          </w:p>
          <w:p>
            <w:pPr>
              <w:spacing w:after="120" w:before="0"/>
              <w:jc w:val="center"/>
            </w:pPr>
            <w:r>
              <w:rPr>
                <w:rFonts w:ascii="Calibri" w:cs="Calibri" w:eastAsia="Calibri" w:hAnsi="Calibri"/>
                <w:b/>
                <w:bCs/>
                <w:i w:val="false"/>
                <w:iCs w:val="false"/>
                <w:color w:val="001141"/>
                <w:sz w:val="17"/>
                <w:szCs w:val="17"/>
              </w:rPr>
              <w:t xml:space="preserve">AI Engagements</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$3.4B</w:t>
            </w:r>
          </w:p>
          <w:p>
            <w:pPr>
              <w:spacing w:after="120" w:before="0"/>
              <w:jc w:val="center"/>
            </w:pPr>
            <w:r>
              <w:rPr>
                <w:rFonts w:ascii="Calibri" w:cs="Calibri" w:eastAsia="Calibri" w:hAnsi="Calibri"/>
                <w:b/>
                <w:bCs/>
                <w:i w:val="false"/>
                <w:iCs w:val="false"/>
                <w:color w:val="001141"/>
                <w:sz w:val="17"/>
                <w:szCs w:val="17"/>
              </w:rPr>
              <w:t xml:space="preserve">IBM Client-0 Savings</w:t>
            </w:r>
          </w:p>
        </w:tc>
      </w:tr>
    </w:tbl>
    <w:p>
      <w:pPr>
        <w:spacing w:after="200" w:before="0"/>
      </w:pPr>
      <w:r>
        <w:rPr>
          <w:rFonts w:ascii="Calibri" w:cs="Calibri" w:eastAsia="Calibri" w:hAnsi="Calibri"/>
          <w:sz w:val="8"/>
          <w:szCs w:val="8"/>
        </w:rPr>
        <w:t xml:space="preserve"/>
      </w:r>
    </w:p>
    <w:p>
      <w:pPr>
        <w:pBdr>
          <w:bottom w:val="single" w:color="0F62FE" w:sz="6"/>
        </w:pBdr>
        <w:spacing w:after="120" w:before="80"/>
      </w:pPr>
    </w:p>
    <w:p>
      <w:pPr>
        <w:spacing w:after="120" w:before="60"/>
      </w:pPr>
      <w:r>
        <w:rPr>
          <w:rFonts w:ascii="Calibri" w:cs="Calibri" w:eastAsia="Calibri" w:hAnsi="Calibri"/>
          <w:b w:val="false"/>
          <w:bCs w:val="false"/>
          <w:i/>
          <w:iCs/>
          <w:color w:val="525252"/>
          <w:sz w:val="22"/>
          <w:szCs w:val="22"/>
        </w:rPr>
        <w:t xml:space="preserve">“The measure of a great payer isn’t uptime. It is the member who never has to think about their insurance because </w:t>
      </w:r>
      <w:r>
        <w:rPr>
          <w:rFonts w:ascii="Calibri" w:cs="Calibri" w:eastAsia="Calibri" w:hAnsi="Calibri"/>
          <w:b/>
          <w:bCs/>
          <w:i/>
          <w:iCs/>
          <w:color w:val="001141"/>
          <w:sz w:val="22"/>
          <w:szCs w:val="22"/>
        </w:rPr>
        <w:t xml:space="preserve">everything just works.</w:t>
      </w:r>
      <w:r>
        <w:rPr>
          <w:rFonts w:ascii="Calibri" w:cs="Calibri" w:eastAsia="Calibri" w:hAnsi="Calibri"/>
          <w:b w:val="false"/>
          <w:bCs w:val="false"/>
          <w:i/>
          <w:iCs/>
          <w:color w:val="525252"/>
          <w:sz w:val="22"/>
          <w:szCs w:val="22"/>
        </w:rPr>
        <w:t xml:space="preserve">”</w:t>
      </w:r>
    </w:p>
    <w:p>
      <w:pPr>
        <w:spacing w:after="40" w:before="80"/>
        <w:jc w:val="center"/>
      </w:pPr>
      <w:r>
        <w:rPr>
          <w:rFonts w:ascii="Calibri" w:cs="Calibri" w:eastAsia="Calibri" w:hAnsi="Calibri"/>
          <w:b/>
          <w:bCs/>
          <w:i w:val="false"/>
          <w:iCs w:val="false"/>
          <w:color w:val="001141"/>
          <w:sz w:val="22"/>
          <w:szCs w:val="22"/>
        </w:rPr>
        <w:t xml:space="preserve">A Strategic Partnership for Enterprise Transformation</w:t>
      </w:r>
    </w:p>
    <w:p>
      <w:pPr>
        <w:spacing w:after="120" w:before="0"/>
        <w:jc w:val="center"/>
      </w:pPr>
      <w:r>
        <w:rPr>
          <w:rFonts w:ascii="Calibri" w:cs="Calibri" w:eastAsia="Calibri" w:hAnsi="Calibri"/>
          <w:b w:val="false"/>
          <w:bCs w:val="false"/>
          <w:i/>
          <w:iCs/>
          <w:color w:val="525252"/>
          <w:sz w:val="19"/>
          <w:szCs w:val="19"/>
        </w:rPr>
        <w:t xml:space="preserve">IBM is committed to Horizon’s success — not as a vendor, but as a transformation partner with shared stakes in every outcome.</w:t>
      </w:r>
    </w:p>
    <w:p>
      <w:pPr>
        <w:pBdr>
          <w:top w:val="single" w:color="E0E0E0" w:sz="2"/>
        </w:pBdr>
        <w:spacing w:after="60" w:before="80"/>
      </w:pPr>
    </w:p>
    <w:p>
      <w:pPr>
        <w:spacing w:after="0" w:before="0"/>
        <w:jc w:val="center"/>
      </w:pPr>
      <w:r>
        <w:rPr>
          <w:rFonts w:ascii="Calibri" w:cs="Calibri" w:eastAsia="Calibri" w:hAnsi="Calibri"/>
          <w:b w:val="false"/>
          <w:bCs w:val="false"/>
          <w:i w:val="false"/>
          <w:iCs w:val="false"/>
          <w:color w:val="8D8D8D"/>
          <w:sz w:val="15"/>
          <w:szCs w:val="15"/>
        </w:rPr>
        <w:t xml:space="preserve">© 2026 IBM Corporation  ·  IBM-HZN-AMS-RFP-2026-CAS  ·  Confidential  ·  All figures based on IBM programme data and industry benchmarks.</w:t>
      </w:r>
    </w:p>
    <w:sectPr>
      <w:headerReference w:type="default" r:id="rId7"/>
      <w:footerReference w:type="default" r:id="rId8"/>
      <w:pgSz w:w="11906" w:h="16838" w:orient="portrait"/>
      <w:pgMar w:top="1152" w:right="1296" w:bottom="93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 Dev, Maintenance &amp; Quality Engineering</dc:title>
  <dc:creator>IBM Consulting</dc:creator>
  <cp:lastModifiedBy>Un-named</cp:lastModifiedBy>
  <cp:revision>1</cp:revision>
  <dcterms:created xsi:type="dcterms:W3CDTF">2026-04-16T05:41:51.055Z</dcterms:created>
  <dcterms:modified xsi:type="dcterms:W3CDTF">2026-04-16T05:41:51.056Z</dcterms:modified>
</cp:coreProperties>
</file>

<file path=docProps/custom.xml><?xml version="1.0" encoding="utf-8"?>
<Properties xmlns="http://schemas.openxmlformats.org/officeDocument/2006/custom-properties" xmlns:vt="http://schemas.openxmlformats.org/officeDocument/2006/docPropsVTypes"/>
</file>