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141" w:val="clear"/>
        <w:spacing w:after="280" w:before="280"/>
      </w:pPr>
      <w:r>
        <w:rPr>
          <w:rFonts w:ascii="Calibri" w:cs="Calibri" w:eastAsia="Calibri" w:hAnsi="Calibri"/>
          <w:b/>
          <w:bCs/>
          <w:i w:val="false"/>
          <w:iCs w:val="false"/>
          <w:color w:val="FFFFFF"/>
          <w:sz w:val="18"/>
          <w:szCs w:val="18"/>
        </w:rPr>
        <w:t xml:space="preserve">IBM CONSULTING   |   HEALTHCARE &amp; PAYER DELIVERY   |   AMS PRACTICE</w:t>
      </w:r>
    </w:p>
    <w:p>
      <w:pPr>
        <w:shd w:fill="0F62FE" w:val="clear"/>
        <w:spacing w:after="60" w:before="0"/>
      </w:pPr>
    </w:p>
    <w:p>
      <w:pPr>
        <w:spacing w:after="400" w:before="0"/>
      </w:pPr>
      <w:r>
        <w:rPr>
          <w:rFonts w:ascii="Calibri" w:cs="Calibri" w:eastAsia="Calibri" w:hAnsi="Calibri"/>
          <w:sz w:val="12"/>
          <w:szCs w:val="12"/>
        </w:rPr>
        <w:t xml:space="preserve"/>
      </w:r>
    </w:p>
    <w:p>
      <w:pPr>
        <w:spacing w:after="160" w:before="0"/>
        <w:ind w:left="1584"/>
      </w:pPr>
      <w:r>
        <w:rPr>
          <w:rFonts w:ascii="Calibri" w:cs="Calibri" w:eastAsia="Calibri" w:hAnsi="Calibri"/>
          <w:b/>
          <w:bCs/>
          <w:i w:val="false"/>
          <w:iCs w:val="false"/>
          <w:color w:val="0F62FE"/>
          <w:sz w:val="48"/>
          <w:szCs w:val="48"/>
        </w:rPr>
        <w:t xml:space="preserve">AI-FIRST  ·  AGENTIC BY CORE</w:t>
      </w:r>
    </w:p>
    <w:p>
      <w:pPr>
        <w:spacing w:after="0" w:before="0"/>
        <w:ind w:left="1584"/>
      </w:pPr>
      <w:r>
        <w:rPr>
          <w:rFonts w:ascii="Calibri" w:cs="Calibri" w:eastAsia="Calibri" w:hAnsi="Calibri"/>
          <w:b/>
          <w:bCs/>
          <w:i w:val="false"/>
          <w:iCs w:val="false"/>
          <w:color w:val="001141"/>
          <w:sz w:val="76"/>
          <w:szCs w:val="76"/>
        </w:rPr>
        <w:t xml:space="preserve">Application Development,</w:t>
      </w:r>
    </w:p>
    <w:p>
      <w:pPr>
        <w:spacing w:after="0" w:before="0"/>
        <w:ind w:left="1584"/>
      </w:pPr>
      <w:r>
        <w:rPr>
          <w:rFonts w:ascii="Calibri" w:cs="Calibri" w:eastAsia="Calibri" w:hAnsi="Calibri"/>
          <w:b/>
          <w:bCs/>
          <w:i w:val="false"/>
          <w:iCs w:val="false"/>
          <w:color w:val="001141"/>
          <w:sz w:val="76"/>
          <w:szCs w:val="76"/>
        </w:rPr>
        <w:t xml:space="preserve">Maintenance &amp;</w:t>
      </w:r>
    </w:p>
    <w:p>
      <w:pPr>
        <w:spacing w:after="160" w:before="0"/>
        <w:ind w:left="1584"/>
      </w:pPr>
      <w:r>
        <w:rPr>
          <w:rFonts w:ascii="Calibri" w:cs="Calibri" w:eastAsia="Calibri" w:hAnsi="Calibri"/>
          <w:b/>
          <w:bCs/>
          <w:i w:val="false"/>
          <w:iCs w:val="false"/>
          <w:color w:val="0F62FE"/>
          <w:sz w:val="76"/>
          <w:szCs w:val="76"/>
        </w:rPr>
        <w:t xml:space="preserve">Quality Engineering</w:t>
      </w:r>
    </w:p>
    <w:p>
      <w:pPr>
        <w:spacing w:after="500" w:before="0"/>
        <w:ind w:left="1584"/>
      </w:pPr>
      <w:r>
        <w:rPr>
          <w:rFonts w:ascii="Calibri" w:cs="Calibri" w:eastAsia="Calibri" w:hAnsi="Calibri"/>
          <w:b w:val="false"/>
          <w:bCs w:val="false"/>
          <w:i/>
          <w:iCs/>
          <w:color w:val="8D8D8D"/>
          <w:sz w:val="26"/>
          <w:szCs w:val="26"/>
        </w:rPr>
        <w:t xml:space="preserve">Where Every Line of Code, Every Test, and Every Resolved Incident
Is Measured by the Member It Serves</w:t>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dxa" w:w="4118"/>
            <w:tcBorders>
              <w:top w:val="none" w:color="auto" w:sz="0"/>
              <w:left w:val="none" w:color="auto" w:sz="0"/>
              <w:bottom w:val="none" w:color="auto" w:sz="0"/>
              <w:right w:val="none" w:color="auto" w:sz="0"/>
            </w:tcBorders>
            <w:shd w:fill="FFFFFF" w:val="clear"/>
            <w:tcMar>
              <w:top w:type="dxa" w:w="60"/>
              <w:left w:type="dxa" w:w="160"/>
              <w:bottom w:type="dxa" w:w="60"/>
              <w:right w:type="dxa" w:w="160"/>
            </w:tcMar>
            <w:vAlign w:val="center"/>
          </w:tcPr>
          <w:p>
            <w:pPr>
              <w:spacing w:after="40" w:before="0"/>
            </w:pPr>
            <w:r>
              <w:rPr>
                <w:rFonts w:ascii="Calibri" w:cs="Calibri" w:eastAsia="Calibri" w:hAnsi="Calibri"/>
                <w:b/>
                <w:bCs/>
                <w:i w:val="false"/>
                <w:iCs w:val="false"/>
                <w:color w:val="001141"/>
                <w:sz w:val="20"/>
                <w:szCs w:val="20"/>
              </w:rPr>
              <w:t xml:space="preserve">Submitted by:</w:t>
            </w:r>
          </w:p>
          <w:p>
            <w:pPr>
              <w:spacing w:after="20" w:before="0"/>
            </w:pPr>
            <w:r>
              <w:rPr>
                <w:rFonts w:ascii="Calibri" w:cs="Calibri" w:eastAsia="Calibri" w:hAnsi="Calibri"/>
                <w:b w:val="false"/>
                <w:bCs w:val="false"/>
                <w:i w:val="false"/>
                <w:iCs w:val="false"/>
                <w:color w:val="525252"/>
                <w:sz w:val="21"/>
                <w:szCs w:val="21"/>
              </w:rPr>
              <w:t xml:space="preserve">IBM Consulting</w:t>
            </w:r>
          </w:p>
          <w:p>
            <w:pPr>
              <w:spacing w:after="0" w:before="0"/>
            </w:pPr>
            <w:r>
              <w:rPr>
                <w:rFonts w:ascii="Calibri" w:cs="Calibri" w:eastAsia="Calibri" w:hAnsi="Calibri"/>
                <w:b w:val="false"/>
                <w:bCs w:val="false"/>
                <w:i w:val="false"/>
                <w:iCs w:val="false"/>
                <w:color w:val="525252"/>
                <w:sz w:val="21"/>
                <w:szCs w:val="21"/>
              </w:rPr>
              <w:t xml:space="preserve">Healthcare &amp; Payer Delivery — AMS Practice</w:t>
            </w:r>
          </w:p>
        </w:tc>
        <w:tc>
          <w:tcPr>
            <w:tcW w:type="dxa" w:w="5242"/>
            <w:tcBorders>
              <w:top w:val="none" w:color="auto" w:sz="0"/>
              <w:left w:val="none" w:color="auto" w:sz="0"/>
              <w:bottom w:val="none" w:color="auto" w:sz="0"/>
              <w:right w:val="none" w:color="auto" w:sz="0"/>
            </w:tcBorders>
            <w:shd w:fill="FFFFFF" w:val="clear"/>
            <w:tcMar>
              <w:top w:type="dxa" w:w="60"/>
              <w:left w:type="dxa" w:w="160"/>
              <w:bottom w:type="dxa" w:w="60"/>
              <w:right w:type="dxa" w:w="160"/>
            </w:tcMar>
            <w:vAlign w:val="center"/>
          </w:tcPr>
          <w:p>
            <w:pPr>
              <w:spacing w:after="40" w:before="0"/>
            </w:pPr>
            <w:r>
              <w:rPr>
                <w:rFonts w:ascii="Calibri" w:cs="Calibri" w:eastAsia="Calibri" w:hAnsi="Calibri"/>
                <w:b/>
                <w:bCs/>
                <w:i w:val="false"/>
                <w:iCs w:val="false"/>
                <w:color w:val="001141"/>
                <w:sz w:val="20"/>
                <w:szCs w:val="20"/>
              </w:rPr>
              <w:t xml:space="preserve">Submitted to:</w:t>
            </w:r>
          </w:p>
          <w:p>
            <w:pPr>
              <w:spacing w:after="20" w:before="0"/>
            </w:pPr>
            <w:r>
              <w:rPr>
                <w:rFonts w:ascii="Calibri" w:cs="Calibri" w:eastAsia="Calibri" w:hAnsi="Calibri"/>
                <w:b w:val="false"/>
                <w:bCs w:val="false"/>
                <w:i w:val="false"/>
                <w:iCs w:val="false"/>
                <w:color w:val="525252"/>
                <w:sz w:val="21"/>
                <w:szCs w:val="21"/>
              </w:rPr>
              <w:t xml:space="preserve">Horizon Blue Cross Blue Shield of New Jersey</w:t>
            </w:r>
          </w:p>
          <w:p>
            <w:pPr>
              <w:spacing w:after="0" w:before="0"/>
            </w:pPr>
            <w:r>
              <w:rPr>
                <w:rFonts w:ascii="Calibri" w:cs="Calibri" w:eastAsia="Calibri" w:hAnsi="Calibri"/>
                <w:b w:val="false"/>
                <w:bCs w:val="false"/>
                <w:i w:val="false"/>
                <w:iCs w:val="false"/>
                <w:color w:val="525252"/>
                <w:sz w:val="21"/>
                <w:szCs w:val="21"/>
              </w:rPr>
              <w:t xml:space="preserve">Executive Leadership &amp; Technology Office</w:t>
            </w:r>
          </w:p>
        </w:tc>
      </w:tr>
    </w:tbl>
    <w:p>
      <w:pPr>
        <w:spacing w:after="120" w:before="0"/>
      </w:pPr>
      <w:r>
        <w:rPr>
          <w:rFonts w:ascii="Calibri" w:cs="Calibri" w:eastAsia="Calibri" w:hAnsi="Calibri"/>
          <w:sz w:val="12"/>
          <w:szCs w:val="12"/>
        </w:rPr>
        <w:t xml:space="preserve"/>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tblGrid>
      <w:tr>
        <w:tc>
          <w:tcPr>
            <w:tcW w:type="dxa" w:w="9360"/>
            <w:tcBorders>
              <w:top w:val="none" w:color="auto" w:sz="0"/>
              <w:left w:val="none" w:color="auto" w:sz="0"/>
              <w:bottom w:val="none" w:color="auto" w:sz="0"/>
              <w:right w:val="none" w:color="auto" w:sz="0"/>
            </w:tcBorders>
            <w:shd w:fill="FFFFFF" w:val="clear"/>
            <w:tcMar>
              <w:top w:type="dxa" w:w="60"/>
              <w:left w:type="dxa" w:w="160"/>
              <w:bottom w:type="dxa" w:w="60"/>
              <w:right w:type="dxa" w:w="160"/>
            </w:tcMar>
            <w:vAlign w:val="center"/>
          </w:tcPr>
          <w:p>
            <w:pPr>
              <w:spacing w:after="40" w:before="0"/>
            </w:pPr>
            <w:r>
              <w:rPr>
                <w:rFonts w:ascii="Calibri" w:cs="Calibri" w:eastAsia="Calibri" w:hAnsi="Calibri"/>
                <w:b/>
                <w:bCs/>
                <w:i w:val="false"/>
                <w:iCs w:val="false"/>
                <w:color w:val="001141"/>
                <w:sz w:val="20"/>
                <w:szCs w:val="20"/>
              </w:rPr>
              <w:t xml:space="preserve">Document Classification:</w:t>
            </w:r>
            <w:r>
              <w:rPr>
                <w:rFonts w:ascii="Calibri" w:cs="Calibri" w:eastAsia="Calibri" w:hAnsi="Calibri"/>
                <w:b w:val="false"/>
                <w:bCs w:val="false"/>
                <w:i w:val="false"/>
                <w:iCs w:val="false"/>
                <w:color w:val="525252"/>
                <w:sz w:val="20"/>
                <w:szCs w:val="20"/>
              </w:rPr>
              <w:t xml:space="preserve">   CONFIDENTIAL</w:t>
            </w:r>
          </w:p>
          <w:p>
            <w:pPr>
              <w:spacing w:after="40" w:before="0"/>
            </w:pPr>
            <w:r>
              <w:rPr>
                <w:rFonts w:ascii="Calibri" w:cs="Calibri" w:eastAsia="Calibri" w:hAnsi="Calibri"/>
                <w:b/>
                <w:bCs/>
                <w:i w:val="false"/>
                <w:iCs w:val="false"/>
                <w:color w:val="001141"/>
                <w:sz w:val="20"/>
                <w:szCs w:val="20"/>
              </w:rPr>
              <w:t xml:space="preserve">Date:</w:t>
            </w:r>
            <w:r>
              <w:rPr>
                <w:rFonts w:ascii="Calibri" w:cs="Calibri" w:eastAsia="Calibri" w:hAnsi="Calibri"/>
                <w:b w:val="false"/>
                <w:bCs w:val="false"/>
                <w:i w:val="false"/>
                <w:iCs w:val="false"/>
                <w:color w:val="525252"/>
                <w:sz w:val="20"/>
                <w:szCs w:val="20"/>
              </w:rPr>
              <w:t xml:space="preserve">   April 2026</w:t>
            </w:r>
          </w:p>
          <w:p>
            <w:pPr>
              <w:spacing w:after="0" w:before="0"/>
            </w:pPr>
            <w:r>
              <w:rPr>
                <w:rFonts w:ascii="Calibri" w:cs="Calibri" w:eastAsia="Calibri" w:hAnsi="Calibri"/>
                <w:b/>
                <w:bCs/>
                <w:i w:val="false"/>
                <w:iCs w:val="false"/>
                <w:color w:val="001141"/>
                <w:sz w:val="20"/>
                <w:szCs w:val="20"/>
              </w:rPr>
              <w:t xml:space="preserve">Reference:</w:t>
            </w:r>
            <w:r>
              <w:rPr>
                <w:rFonts w:ascii="Calibri" w:cs="Calibri" w:eastAsia="Calibri" w:hAnsi="Calibri"/>
                <w:b w:val="false"/>
                <w:bCs w:val="false"/>
                <w:i w:val="false"/>
                <w:iCs w:val="false"/>
                <w:color w:val="525252"/>
                <w:sz w:val="20"/>
                <w:szCs w:val="20"/>
              </w:rPr>
              <w:t xml:space="preserve">   IBM-HZN-AMS-RFP-2026-CAS</w:t>
            </w:r>
          </w:p>
        </w:tc>
      </w:tr>
    </w:tbl>
    <w:p>
      <w:pPr>
        <w:spacing w:after="600" w:before="0"/>
      </w:pPr>
      <w:r>
        <w:rPr>
          <w:rFonts w:ascii="Calibri" w:cs="Calibri" w:eastAsia="Calibri" w:hAnsi="Calibri"/>
          <w:sz w:val="12"/>
          <w:szCs w:val="12"/>
        </w:rPr>
        <w:t xml:space="preserve"/>
      </w:r>
    </w:p>
    <w:p>
      <w:pPr>
        <w:shd w:fill="001141" w:val="clear"/>
        <w:spacing w:after="100" w:before="100"/>
        <w:jc w:val="center"/>
      </w:pPr>
      <w:r>
        <w:rPr>
          <w:rFonts w:ascii="Calibri" w:cs="Calibri" w:eastAsia="Calibri" w:hAnsi="Calibri"/>
          <w:b w:val="false"/>
          <w:bCs w:val="false"/>
          <w:i w:val="false"/>
          <w:iCs w:val="false"/>
          <w:color w:val="FFFFFF"/>
          <w:sz w:val="17"/>
          <w:szCs w:val="17"/>
        </w:rPr>
        <w:t xml:space="preserve">Powered by CareOps360  ·  IBM AIOps  ·  IBM Consulting Advantage  ·  HIPAA Compliant  ·  © 2026 IBM Corporation</w:t>
      </w:r>
    </w:p>
    <w:p>
      <w:pPr>
        <w:sectPr>
          <w:pgSz w:w="11906" w:h="16838" w:orient="portrait"/>
          <w:pgMar w:top="0" w:right="0" w:bottom="0" w:left="0" w:header="708" w:footer="708" w:gutter="0"/>
          <w:pgNumType/>
          <w:docGrid w:linePitch="360"/>
        </w:sectPr>
      </w:pPr>
    </w:p>
    <w:p>
      <w:pPr>
        <w:spacing w:after="40" w:before="0"/>
      </w:pPr>
      <w:r>
        <w:rPr>
          <w:rFonts w:ascii="Calibri" w:cs="Calibri" w:eastAsia="Calibri" w:hAnsi="Calibri"/>
          <w:b/>
          <w:bCs/>
          <w:i w:val="false"/>
          <w:iCs w:val="false"/>
          <w:color w:val="0F62FE"/>
          <w:sz w:val="18"/>
          <w:szCs w:val="18"/>
        </w:rPr>
        <w:t xml:space="preserve">IBM × Horizon BCBS — Application Development, Maintenance &amp; Quality Engineering</w:t>
      </w:r>
    </w:p>
    <w:p>
      <w:pPr>
        <w:spacing w:after="160" w:before="0"/>
      </w:pPr>
      <w:r>
        <w:rPr>
          <w:rFonts w:ascii="Calibri" w:cs="Calibri" w:eastAsia="Calibri" w:hAnsi="Calibri"/>
          <w:b w:val="false"/>
          <w:bCs w:val="false"/>
          <w:i/>
          <w:iCs/>
          <w:color w:val="8D8D8D"/>
          <w:sz w:val="18"/>
          <w:szCs w:val="18"/>
        </w:rPr>
        <w:t xml:space="preserve">Executive Summary  |  April 2026  |  Confidential</w:t>
      </w:r>
    </w:p>
    <w:p>
      <w:pPr>
        <w:pBdr>
          <w:bottom w:val="single" w:color="0F62FE" w:sz="8"/>
        </w:pBdr>
        <w:spacing w:after="200" w:before="0"/>
      </w:pP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tblGrid>
      <w:tr>
        <w:tc>
          <w:tcPr>
            <w:tcW w:type="dxa" w:w="56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01</w:t>
            </w:r>
          </w:p>
        </w:tc>
        <w:tc>
          <w:tcPr>
            <w:tcW w:type="dxa" w:w="3557"/>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Executive Summary</w:t>
            </w:r>
          </w:p>
        </w:tc>
        <w:tc>
          <w:tcPr>
            <w:tcW w:type="dxa" w:w="524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iCs/>
                <w:color w:val="525252"/>
                <w:sz w:val="19"/>
                <w:szCs w:val="19"/>
              </w:rPr>
              <w:t xml:space="preserve">AI-First, Member-Centred Transformation of AMS Delivery</w:t>
            </w:r>
          </w:p>
        </w:tc>
      </w:tr>
      <w:tr>
        <w:tc>
          <w:tcPr>
            <w:tcW w:type="dxa" w:w="56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02</w:t>
            </w:r>
          </w:p>
        </w:tc>
        <w:tc>
          <w:tcPr>
            <w:tcW w:type="dxa" w:w="3557"/>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The Delivery Imperative</w:t>
            </w:r>
          </w:p>
        </w:tc>
        <w:tc>
          <w:tcPr>
            <w:tcW w:type="dxa" w:w="524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iCs/>
                <w:color w:val="525252"/>
                <w:sz w:val="19"/>
                <w:szCs w:val="19"/>
              </w:rPr>
              <w:t xml:space="preserve">Why Horizon Needs a New Operating Model — and Why Now</w:t>
            </w:r>
          </w:p>
        </w:tc>
      </w:tr>
      <w:tr>
        <w:tc>
          <w:tcPr>
            <w:tcW w:type="dxa" w:w="56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03</w:t>
            </w:r>
          </w:p>
        </w:tc>
        <w:tc>
          <w:tcPr>
            <w:tcW w:type="dxa" w:w="3557"/>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AI-First Application Development</w:t>
            </w:r>
          </w:p>
        </w:tc>
        <w:tc>
          <w:tcPr>
            <w:tcW w:type="dxa" w:w="524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iCs/>
                <w:color w:val="525252"/>
                <w:sz w:val="19"/>
                <w:szCs w:val="19"/>
              </w:rPr>
              <w:t xml:space="preserve">Agentic Engineering, Risk-Scored Pipelines &amp; Domain Squads</w:t>
            </w:r>
          </w:p>
        </w:tc>
      </w:tr>
      <w:tr>
        <w:tc>
          <w:tcPr>
            <w:tcW w:type="dxa" w:w="56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04</w:t>
            </w:r>
          </w:p>
        </w:tc>
        <w:tc>
          <w:tcPr>
            <w:tcW w:type="dxa" w:w="3557"/>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Zero-Touch Application Maintenance</w:t>
            </w:r>
          </w:p>
        </w:tc>
        <w:tc>
          <w:tcPr>
            <w:tcW w:type="dxa" w:w="524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iCs/>
                <w:color w:val="525252"/>
                <w:sz w:val="19"/>
                <w:szCs w:val="19"/>
              </w:rPr>
              <w:t xml:space="preserve">From Reactive Firefighting to Self-Healing Agentic Operations</w:t>
            </w:r>
          </w:p>
        </w:tc>
      </w:tr>
      <w:tr>
        <w:tc>
          <w:tcPr>
            <w:tcW w:type="dxa" w:w="56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05</w:t>
            </w:r>
          </w:p>
        </w:tc>
        <w:tc>
          <w:tcPr>
            <w:tcW w:type="dxa" w:w="3557"/>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Quality Engineering</w:t>
            </w:r>
          </w:p>
        </w:tc>
        <w:tc>
          <w:tcPr>
            <w:tcW w:type="dxa" w:w="524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iCs/>
                <w:color w:val="525252"/>
                <w:sz w:val="19"/>
                <w:szCs w:val="19"/>
              </w:rPr>
              <w:t xml:space="preserve">Measurable Quality at Every Milestone — Improved with Every Release</w:t>
            </w:r>
          </w:p>
        </w:tc>
      </w:tr>
      <w:tr>
        <w:tc>
          <w:tcPr>
            <w:tcW w:type="dxa" w:w="56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06</w:t>
            </w:r>
          </w:p>
        </w:tc>
        <w:tc>
          <w:tcPr>
            <w:tcW w:type="dxa" w:w="3557"/>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Member &amp; Provider Experience</w:t>
            </w:r>
          </w:p>
        </w:tc>
        <w:tc>
          <w:tcPr>
            <w:tcW w:type="dxa" w:w="524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iCs/>
                <w:color w:val="525252"/>
                <w:sz w:val="19"/>
                <w:szCs w:val="19"/>
              </w:rPr>
              <w:t xml:space="preserve">Every Operational Improvement Measured by the Human It Serves</w:t>
            </w:r>
          </w:p>
        </w:tc>
      </w:tr>
      <w:tr>
        <w:tc>
          <w:tcPr>
            <w:tcW w:type="dxa" w:w="56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07</w:t>
            </w:r>
          </w:p>
        </w:tc>
        <w:tc>
          <w:tcPr>
            <w:tcW w:type="dxa" w:w="3557"/>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CareOps360 Command Center</w:t>
            </w:r>
          </w:p>
        </w:tc>
        <w:tc>
          <w:tcPr>
            <w:tcW w:type="dxa" w:w="524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iCs/>
                <w:color w:val="525252"/>
                <w:sz w:val="19"/>
                <w:szCs w:val="19"/>
              </w:rPr>
              <w:t xml:space="preserve">IBM’s Executive Operations Platform for Real-Time Visibility</w:t>
            </w:r>
          </w:p>
        </w:tc>
      </w:tr>
      <w:tr>
        <w:tc>
          <w:tcPr>
            <w:tcW w:type="dxa" w:w="56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08</w:t>
            </w:r>
          </w:p>
        </w:tc>
        <w:tc>
          <w:tcPr>
            <w:tcW w:type="dxa" w:w="3557"/>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Phased Delivery Roadmap</w:t>
            </w:r>
          </w:p>
        </w:tc>
        <w:tc>
          <w:tcPr>
            <w:tcW w:type="dxa" w:w="524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iCs/>
                <w:color w:val="525252"/>
                <w:sz w:val="19"/>
                <w:szCs w:val="19"/>
              </w:rPr>
              <w:t xml:space="preserve">Stabilization to Autonomous Operations</w:t>
            </w:r>
          </w:p>
        </w:tc>
      </w:tr>
      <w:tr>
        <w:tc>
          <w:tcPr>
            <w:tcW w:type="dxa" w:w="56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09</w:t>
            </w:r>
          </w:p>
        </w:tc>
        <w:tc>
          <w:tcPr>
            <w:tcW w:type="dxa" w:w="3557"/>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Transformation Opportunities</w:t>
            </w:r>
          </w:p>
        </w:tc>
        <w:tc>
          <w:tcPr>
            <w:tcW w:type="dxa" w:w="524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iCs/>
                <w:color w:val="525252"/>
                <w:sz w:val="19"/>
                <w:szCs w:val="19"/>
              </w:rPr>
              <w:t xml:space="preserve">Platform Modernization, Mainframe Migration &amp; Technical Debt</w:t>
            </w:r>
          </w:p>
        </w:tc>
      </w:tr>
      <w:tr>
        <w:tc>
          <w:tcPr>
            <w:tcW w:type="dxa" w:w="56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10</w:t>
            </w:r>
          </w:p>
        </w:tc>
        <w:tc>
          <w:tcPr>
            <w:tcW w:type="dxa" w:w="3557"/>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Why IBM — Call to Action</w:t>
            </w:r>
          </w:p>
        </w:tc>
        <w:tc>
          <w:tcPr>
            <w:tcW w:type="dxa" w:w="524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iCs/>
                <w:color w:val="525252"/>
                <w:sz w:val="19"/>
                <w:szCs w:val="19"/>
              </w:rPr>
              <w:t xml:space="preserve">Scale, Depth, Skin in the Game &amp; Next Steps</w:t>
            </w:r>
          </w:p>
        </w:tc>
      </w:tr>
    </w:tbl>
    <w:p>
      <w:pPr>
        <w:pageBreakBefore/>
        <w:pBdr>
          <w:top w:val="single" w:color="0F62FE" w:sz="20" w:space="10"/>
        </w:pBdr>
        <w:spacing w:after="80" w:before="0"/>
      </w:pPr>
    </w:p>
    <w:p>
      <w:pPr>
        <w:spacing w:after="60" w:before="0"/>
      </w:pPr>
      <w:r>
        <w:rPr>
          <w:rFonts w:ascii="Calibri" w:cs="Calibri" w:eastAsia="Calibri" w:hAnsi="Calibri"/>
          <w:b/>
          <w:bCs/>
          <w:i w:val="false"/>
          <w:iCs w:val="false"/>
          <w:color w:val="0F62FE"/>
          <w:sz w:val="19"/>
          <w:szCs w:val="19"/>
        </w:rPr>
        <w:t xml:space="preserve">01  </w:t>
      </w:r>
      <w:r>
        <w:rPr>
          <w:rFonts w:ascii="Calibri" w:cs="Calibri" w:eastAsia="Calibri" w:hAnsi="Calibri"/>
          <w:b/>
          <w:bCs/>
          <w:i w:val="false"/>
          <w:iCs w:val="false"/>
          <w:color w:val="001141"/>
          <w:sz w:val="36"/>
          <w:szCs w:val="36"/>
        </w:rPr>
        <w:t xml:space="preserve">Executive Summary</w:t>
      </w:r>
    </w:p>
    <w:p>
      <w:pPr>
        <w:spacing w:after="160" w:before="0"/>
      </w:pPr>
      <w:r>
        <w:rPr>
          <w:rFonts w:ascii="Calibri" w:cs="Calibri" w:eastAsia="Calibri" w:hAnsi="Calibri"/>
          <w:b w:val="false"/>
          <w:bCs w:val="false"/>
          <w:i/>
          <w:iCs/>
          <w:color w:val="8D8D8D"/>
          <w:sz w:val="20"/>
          <w:szCs w:val="20"/>
        </w:rPr>
        <w:t xml:space="preserve">AI-First, Member-Centred Transformation of Application Management Services</w:t>
      </w:r>
    </w:p>
    <w:p>
      <w:pPr>
        <w:spacing w:after="80" w:before="0"/>
      </w:pPr>
      <w:r>
        <w:rPr>
          <w:rFonts w:ascii="Calibri" w:cs="Calibri" w:eastAsia="Calibri" w:hAnsi="Calibri"/>
          <w:sz w:val="12"/>
          <w:szCs w:val="12"/>
        </w:rPr>
        <w:t xml:space="preserve"/>
      </w:r>
    </w:p>
    <w:p>
      <w:pPr>
        <w:pBdr>
          <w:left w:val="single" w:color="0F62FE" w:sz="20" w:space="12"/>
        </w:pBdr>
        <w:spacing w:after="40" w:before="60"/>
        <w:ind w:left="576"/>
      </w:pPr>
      <w:r>
        <w:rPr>
          <w:rFonts w:ascii="Calibri" w:cs="Calibri" w:eastAsia="Calibri" w:hAnsi="Calibri"/>
          <w:b w:val="false"/>
          <w:bCs w:val="false"/>
          <w:i/>
          <w:iCs/>
          <w:color w:val="001141"/>
          <w:sz w:val="23"/>
          <w:szCs w:val="23"/>
        </w:rPr>
        <w:t xml:space="preserve">“A mother enrolling her newborn should not wait five days because two systems failed to sync. A provider submitting a prior auth should not chase a fax. A patient whose claim was wrongly denied should not navigate a phone tree to fix a system error. IBM is here to make those moments disappear.”</w:t>
      </w:r>
    </w:p>
    <w:p>
      <w:pPr>
        <w:spacing w:after="120" w:before="0"/>
        <w:jc w:val="right"/>
      </w:pPr>
      <w:r>
        <w:rPr>
          <w:rFonts w:ascii="Calibri" w:cs="Calibri" w:eastAsia="Calibri" w:hAnsi="Calibri"/>
          <w:b/>
          <w:bCs/>
          <w:i w:val="false"/>
          <w:iCs w:val="false"/>
          <w:color w:val="0F62FE"/>
          <w:sz w:val="18"/>
          <w:szCs w:val="18"/>
        </w:rPr>
        <w:t xml:space="preserve">— IBM Consulting, Healthcare &amp; Payer Delivery</w:t>
      </w:r>
    </w:p>
    <w:p>
      <w:pPr>
        <w:spacing w:after="80" w:before="200"/>
      </w:pPr>
      <w:r>
        <w:rPr>
          <w:rFonts w:ascii="Calibri" w:cs="Calibri" w:eastAsia="Calibri" w:hAnsi="Calibri"/>
          <w:b/>
          <w:bCs/>
          <w:i w:val="false"/>
          <w:iCs w:val="false"/>
          <w:color w:val="001141"/>
          <w:sz w:val="24"/>
          <w:szCs w:val="24"/>
        </w:rPr>
        <w:t xml:space="preserve">The Moment</w:t>
      </w:r>
    </w:p>
    <w:p>
      <w:pPr>
        <w:spacing w:after="100" w:before="0"/>
      </w:pPr>
      <w:r>
        <w:rPr>
          <w:rFonts w:ascii="Calibri" w:cs="Calibri" w:eastAsia="Calibri" w:hAnsi="Calibri"/>
          <w:b w:val="false"/>
          <w:bCs w:val="false"/>
          <w:i w:val="false"/>
          <w:iCs w:val="false"/>
          <w:color w:val="525252"/>
          <w:sz w:val="21"/>
          <w:szCs w:val="21"/>
        </w:rPr>
        <w:t xml:space="preserve">Horizon BCBS manages approximately 1,000 applications spanning enrollment, claims adjudication, member services, provider operations, and data platforms. The organization faces mounting pressure to modernize operations, reduce administrative burden, and deliver measurably better member and provider experiences — while managing the complexity of an enterprise-scale portfolio that touches every aspect of the payer value chain.</w:t>
      </w:r>
    </w:p>
    <w:p>
      <w:pPr>
        <w:spacing w:after="100" w:before="0"/>
      </w:pPr>
      <w:r>
        <w:rPr>
          <w:rFonts w:ascii="Calibri" w:cs="Calibri" w:eastAsia="Calibri" w:hAnsi="Calibri"/>
          <w:b w:val="false"/>
          <w:bCs w:val="false"/>
          <w:i w:val="false"/>
          <w:iCs w:val="false"/>
          <w:color w:val="525252"/>
          <w:sz w:val="21"/>
          <w:szCs w:val="21"/>
        </w:rPr>
        <w:t xml:space="preserve">The incumbent delivery model — reactive, labor-intensive, and fragmented across towers — is no longer sufficient to meet Horizon’s growth objectives, competitive imperatives, or the expectations of its 3.7 million members. Horizon is not looking for a faster version of today. Horizon is looking for a fundamentally different operating model — one where AI is the engine, quality is continuous, delivery is zero-touch, and every operational metric connects to a member, a provider, or a patient.</w:t>
      </w:r>
    </w:p>
    <w:p>
      <w:pPr>
        <w:spacing w:after="80" w:before="200"/>
      </w:pPr>
      <w:r>
        <w:rPr>
          <w:rFonts w:ascii="Calibri" w:cs="Calibri" w:eastAsia="Calibri" w:hAnsi="Calibri"/>
          <w:b/>
          <w:bCs/>
          <w:i w:val="false"/>
          <w:iCs w:val="false"/>
          <w:color w:val="001141"/>
          <w:sz w:val="24"/>
          <w:szCs w:val="24"/>
        </w:rPr>
        <w:t xml:space="preserve">What IBM Proposes</w:t>
      </w:r>
    </w:p>
    <w:p>
      <w:pPr>
        <w:spacing w:after="100" w:before="0"/>
      </w:pPr>
      <w:r>
        <w:rPr>
          <w:rFonts w:ascii="Calibri" w:cs="Calibri" w:eastAsia="Calibri" w:hAnsi="Calibri"/>
          <w:b w:val="false"/>
          <w:bCs w:val="false"/>
          <w:i w:val="false"/>
          <w:iCs w:val="false"/>
          <w:color w:val="525252"/>
          <w:sz w:val="21"/>
          <w:szCs w:val="21"/>
        </w:rPr>
        <w:t xml:space="preserve">IBM proposes a structured transition from reactive application support to a predictive, self-healing, continuously improving AI-first operating model — delivered through IBM’s proven Assets, Assistants, and Accelerators framework, and governed through an outcome-based accountability model that ties IBM’s performance directly to Horizon’s business results.</w:t>
      </w:r>
    </w:p>
    <w:p>
      <w:pPr>
        <w:spacing w:after="100" w:before="0"/>
      </w:pPr>
      <w:r>
        <w:rPr>
          <w:rFonts w:ascii="Calibri" w:cs="Calibri" w:eastAsia="Calibri" w:hAnsi="Calibri"/>
          <w:b w:val="false"/>
          <w:bCs w:val="false"/>
          <w:i w:val="false"/>
          <w:iCs w:val="false"/>
          <w:color w:val="525252"/>
          <w:sz w:val="21"/>
          <w:szCs w:val="21"/>
        </w:rPr>
        <w:t xml:space="preserve">This is not a staffing proposal. IBM is proposing a transformation partnership that embeds AI-driven intelligence into the operating model of Horizon BCBS — enabling a future-ready enterprise that is faster, smarter, and more resilient than today. IBM’s delivery model is built to compound value over time: every sprint, every resolved incident, and every automated test strengthens the foundation for what comes next.</w:t>
      </w:r>
    </w:p>
    <w:p>
      <w:pPr>
        <w:spacing w:after="80" w:before="200"/>
      </w:pPr>
      <w:r>
        <w:rPr>
          <w:rFonts w:ascii="Calibri" w:cs="Calibri" w:eastAsia="Calibri" w:hAnsi="Calibri"/>
          <w:b/>
          <w:bCs/>
          <w:i w:val="false"/>
          <w:iCs w:val="false"/>
          <w:color w:val="001141"/>
          <w:sz w:val="24"/>
          <w:szCs w:val="24"/>
        </w:rPr>
        <w:t xml:space="preserve">Five Strategic Commitments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AI-First Operating Model — AI embedded across every layer of development, quality, and operations. Not bolted on. Built in. Every engineer, every tester, every operator works with AI as a partner.</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Tech Arbitrage over Labor Arbitrage — Compressing cost through automation and intelligence, not headcount. The savings are structural and permanent.</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Outcome-Based Delivery — Committed SLAs tied to measurable business outcomes. IBM’s success is Horizon’s success. Targets missed trigger IBM remediation — not rate renegotiations.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Zero-Disruption Transition — Risk-free phased delivery protecting operational continuity from Day 1. No production disruption. No member impact. No learning curve at Horizon’s expense.</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Agentic by Core — AI agents that detect, triage, diagnose, resolve, and learn — compounding intelligence with every incident. The system gets smarter every day without manual intervention.</w:t>
      </w:r>
    </w:p>
    <w:p>
      <w:pPr>
        <w:spacing w:after="120" w:before="0"/>
      </w:pPr>
      <w:r>
        <w:rPr>
          <w:rFonts w:ascii="Calibri" w:cs="Calibri" w:eastAsia="Calibri" w:hAnsi="Calibri"/>
          <w:sz w:val="12"/>
          <w:szCs w:val="12"/>
        </w:rPr>
        <w:t xml:space="preserve"/>
      </w:r>
    </w:p>
    <w:p>
      <w:pPr>
        <w:spacing w:after="80" w:before="200"/>
      </w:pPr>
      <w:r>
        <w:rPr>
          <w:rFonts w:ascii="Calibri" w:cs="Calibri" w:eastAsia="Calibri" w:hAnsi="Calibri"/>
          <w:b/>
          <w:bCs/>
          <w:i w:val="false"/>
          <w:iCs w:val="false"/>
          <w:color w:val="001141"/>
          <w:sz w:val="24"/>
          <w:szCs w:val="24"/>
        </w:rPr>
        <w:t xml:space="preserve">IBM’s Scale Behind This Proposal</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20,000+ AI &amp; data practitioners globally.</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81,000+ cloud &amp; architecture experts across IBM Consulting.</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40,000+ AI &amp; analytics engagements delivered for global clients.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15,000+ delivery professionals across 40 global delivery centers.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9 of the top 10 US health payers served by IBM Consulting.</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Leader in Enterprise Software Quality &amp; Testing.</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Enterprise partnerships with AWS, Salesforce, and IBM Technology.</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IBM’s Client-0 AI programme saved IBM approximately $3.4B USD — the same model applied here.</w:t>
      </w:r>
    </w:p>
    <w:p>
      <w:pPr>
        <w:spacing w:after="200" w:before="0"/>
      </w:pPr>
      <w:r>
        <w:rPr>
          <w:rFonts w:ascii="Calibri" w:cs="Calibri" w:eastAsia="Calibri" w:hAnsi="Calibri"/>
          <w:sz w:val="12"/>
          <w:szCs w:val="12"/>
        </w:rPr>
        <w:t xml:space="preserve"/>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gridCol w:w="100"/>
      </w:tblGrid>
      <w:tr>
        <w:tc>
          <w:tcPr>
            <w:tcW w:type="dxa" w:w="2340"/>
            <w:tcBorders>
              <w:top w:val="single" w:color="0F62FE"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F62FE"/>
                <w:sz w:val="56"/>
                <w:szCs w:val="56"/>
              </w:rPr>
              <w:t xml:space="preserve">~1,000</w:t>
            </w:r>
          </w:p>
          <w:p>
            <w:pPr>
              <w:spacing w:after="160" w:before="0"/>
              <w:jc w:val="center"/>
            </w:pPr>
            <w:r>
              <w:rPr>
                <w:rFonts w:ascii="Calibri" w:cs="Calibri" w:eastAsia="Calibri" w:hAnsi="Calibri"/>
                <w:b/>
                <w:bCs/>
                <w:i w:val="false"/>
                <w:iCs w:val="false"/>
                <w:color w:val="001141"/>
                <w:sz w:val="19"/>
                <w:szCs w:val="19"/>
              </w:rPr>
              <w:t xml:space="preserve">Applications in Scope</w:t>
            </w:r>
          </w:p>
        </w:tc>
        <w:tc>
          <w:tcPr>
            <w:tcW w:type="dxa" w:w="2340"/>
            <w:tcBorders>
              <w:top w:val="single" w:color="0043CE"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043CE"/>
                <w:sz w:val="56"/>
                <w:szCs w:val="56"/>
              </w:rPr>
              <w:t xml:space="preserve">Day 1</w:t>
            </w:r>
          </w:p>
          <w:p>
            <w:pPr>
              <w:spacing w:after="160" w:before="0"/>
              <w:jc w:val="center"/>
            </w:pPr>
            <w:r>
              <w:rPr>
                <w:rFonts w:ascii="Calibri" w:cs="Calibri" w:eastAsia="Calibri" w:hAnsi="Calibri"/>
                <w:b/>
                <w:bCs/>
                <w:i w:val="false"/>
                <w:iCs w:val="false"/>
                <w:color w:val="001141"/>
                <w:sz w:val="19"/>
                <w:szCs w:val="19"/>
              </w:rPr>
              <w:t xml:space="preserve">Efficiencies &amp; Cost Takeout</w:t>
            </w:r>
          </w:p>
        </w:tc>
        <w:tc>
          <w:tcPr>
            <w:tcW w:type="dxa" w:w="2340"/>
            <w:tcBorders>
              <w:top w:val="single" w:color="007D79"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07D79"/>
                <w:sz w:val="56"/>
                <w:szCs w:val="56"/>
              </w:rPr>
              <w:t xml:space="preserve">24×7</w:t>
            </w:r>
          </w:p>
          <w:p>
            <w:pPr>
              <w:spacing w:after="160" w:before="0"/>
              <w:jc w:val="center"/>
            </w:pPr>
            <w:r>
              <w:rPr>
                <w:rFonts w:ascii="Calibri" w:cs="Calibri" w:eastAsia="Calibri" w:hAnsi="Calibri"/>
                <w:b/>
                <w:bCs/>
                <w:i w:val="false"/>
                <w:iCs w:val="false"/>
                <w:color w:val="001141"/>
                <w:sz w:val="19"/>
                <w:szCs w:val="19"/>
              </w:rPr>
              <w:t xml:space="preserve">Global AIOps Coverage</w:t>
            </w:r>
          </w:p>
        </w:tc>
        <w:tc>
          <w:tcPr>
            <w:tcW w:type="dxa" w:w="2340"/>
            <w:tcBorders>
              <w:top w:val="single" w:color="6929C4"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6929C4"/>
                <w:sz w:val="56"/>
                <w:szCs w:val="56"/>
              </w:rPr>
              <w:t xml:space="preserve">AI-First</w:t>
            </w:r>
          </w:p>
          <w:p>
            <w:pPr>
              <w:spacing w:after="160" w:before="0"/>
              <w:jc w:val="center"/>
            </w:pPr>
            <w:r>
              <w:rPr>
                <w:rFonts w:ascii="Calibri" w:cs="Calibri" w:eastAsia="Calibri" w:hAnsi="Calibri"/>
                <w:b/>
                <w:bCs/>
                <w:i w:val="false"/>
                <w:iCs w:val="false"/>
                <w:color w:val="001141"/>
                <w:sz w:val="19"/>
                <w:szCs w:val="19"/>
              </w:rPr>
              <w:t xml:space="preserve">Agentic by Core</w:t>
            </w:r>
          </w:p>
        </w:tc>
      </w:tr>
    </w:tbl>
    <w:p>
      <w:pPr>
        <w:pageBreakBefore/>
        <w:pBdr>
          <w:top w:val="single" w:color="0F62FE" w:sz="20" w:space="10"/>
        </w:pBdr>
        <w:spacing w:after="80" w:before="0"/>
      </w:pPr>
    </w:p>
    <w:p>
      <w:pPr>
        <w:spacing w:after="60" w:before="0"/>
      </w:pPr>
      <w:r>
        <w:rPr>
          <w:rFonts w:ascii="Calibri" w:cs="Calibri" w:eastAsia="Calibri" w:hAnsi="Calibri"/>
          <w:b/>
          <w:bCs/>
          <w:i w:val="false"/>
          <w:iCs w:val="false"/>
          <w:color w:val="0F62FE"/>
          <w:sz w:val="19"/>
          <w:szCs w:val="19"/>
        </w:rPr>
        <w:t xml:space="preserve">02  </w:t>
      </w:r>
      <w:r>
        <w:rPr>
          <w:rFonts w:ascii="Calibri" w:cs="Calibri" w:eastAsia="Calibri" w:hAnsi="Calibri"/>
          <w:b/>
          <w:bCs/>
          <w:i w:val="false"/>
          <w:iCs w:val="false"/>
          <w:color w:val="001141"/>
          <w:sz w:val="36"/>
          <w:szCs w:val="36"/>
        </w:rPr>
        <w:t xml:space="preserve">The Delivery Imperative</w:t>
      </w:r>
    </w:p>
    <w:p>
      <w:pPr>
        <w:spacing w:after="160" w:before="0"/>
      </w:pPr>
      <w:r>
        <w:rPr>
          <w:rFonts w:ascii="Calibri" w:cs="Calibri" w:eastAsia="Calibri" w:hAnsi="Calibri"/>
          <w:b w:val="false"/>
          <w:bCs w:val="false"/>
          <w:i/>
          <w:iCs/>
          <w:color w:val="8D8D8D"/>
          <w:sz w:val="20"/>
          <w:szCs w:val="20"/>
        </w:rPr>
        <w:t xml:space="preserve">Why Horizon Needs a New Operating Model — and Why Now</w:t>
      </w:r>
    </w:p>
    <w:p>
      <w:pPr>
        <w:spacing w:after="80" w:before="0"/>
      </w:pPr>
      <w:r>
        <w:rPr>
          <w:rFonts w:ascii="Calibri" w:cs="Calibri" w:eastAsia="Calibri" w:hAnsi="Calibri"/>
          <w:sz w:val="12"/>
          <w:szCs w:val="12"/>
        </w:rPr>
        <w:t xml:space="preserve"/>
      </w:r>
    </w:p>
    <w:p>
      <w:pPr>
        <w:pBdr>
          <w:left w:val="single" w:color="0F62FE" w:sz="20" w:space="12"/>
        </w:pBdr>
        <w:spacing w:after="40" w:before="60"/>
        <w:ind w:left="576"/>
      </w:pPr>
      <w:r>
        <w:rPr>
          <w:rFonts w:ascii="Calibri" w:cs="Calibri" w:eastAsia="Calibri" w:hAnsi="Calibri"/>
          <w:b w:val="false"/>
          <w:bCs w:val="false"/>
          <w:i/>
          <w:iCs/>
          <w:color w:val="001141"/>
          <w:sz w:val="23"/>
          <w:szCs w:val="23"/>
        </w:rPr>
        <w:t xml:space="preserve">“The question is not whether Horizon can afford to transform. The question is whether Horizon can afford not to — when every delayed claim is a member who loses trust, and every manual process is a cost that compounds.”</w:t>
      </w:r>
    </w:p>
    <w:p>
      <w:pPr>
        <w:spacing w:after="120" w:before="0"/>
        <w:jc w:val="right"/>
      </w:pPr>
      <w:r>
        <w:rPr>
          <w:rFonts w:ascii="Calibri" w:cs="Calibri" w:eastAsia="Calibri" w:hAnsi="Calibri"/>
          <w:b/>
          <w:bCs/>
          <w:i w:val="false"/>
          <w:iCs w:val="false"/>
          <w:color w:val="0F62FE"/>
          <w:sz w:val="18"/>
          <w:szCs w:val="18"/>
        </w:rPr>
        <w:t xml:space="preserve">— IBM Consulting — Payer Strategy</w:t>
      </w:r>
    </w:p>
    <w:p>
      <w:pPr>
        <w:spacing w:after="80" w:before="200"/>
      </w:pPr>
      <w:r>
        <w:rPr>
          <w:rFonts w:ascii="Calibri" w:cs="Calibri" w:eastAsia="Calibri" w:hAnsi="Calibri"/>
          <w:b/>
          <w:bCs/>
          <w:i w:val="false"/>
          <w:iCs w:val="false"/>
          <w:color w:val="001141"/>
          <w:sz w:val="24"/>
          <w:szCs w:val="24"/>
        </w:rPr>
        <w:t xml:space="preserve">What Horizon Needs</w:t>
      </w:r>
    </w:p>
    <w:p>
      <w:pPr>
        <w:spacing w:after="100" w:before="0"/>
      </w:pPr>
      <w:r>
        <w:rPr>
          <w:rFonts w:ascii="Calibri" w:cs="Calibri" w:eastAsia="Calibri" w:hAnsi="Calibri"/>
          <w:b w:val="false"/>
          <w:bCs w:val="false"/>
          <w:i w:val="false"/>
          <w:iCs w:val="false"/>
          <w:color w:val="525252"/>
          <w:sz w:val="21"/>
          <w:szCs w:val="21"/>
        </w:rPr>
        <w:t xml:space="preserve">Horizon BCBS is seeking the right strategic partner to enhance and support its Application Development, Maintenance, Data, and Testing Services — with a clear focus on AI solutions and expertise native to the Horizon environment. This is not a lift-and-shift of existing operations. This is a mandate to fundamentally improve how Horizon’s ~1,000 applications are built, tested, maintained, and operated.</w:t>
      </w:r>
    </w:p>
    <w:p>
      <w:pPr>
        <w:spacing w:after="80" w:before="200"/>
      </w:pPr>
      <w:r>
        <w:rPr>
          <w:rFonts w:ascii="Calibri" w:cs="Calibri" w:eastAsia="Calibri" w:hAnsi="Calibri"/>
          <w:b/>
          <w:bCs/>
          <w:i w:val="false"/>
          <w:iCs w:val="false"/>
          <w:color w:val="001141"/>
          <w:sz w:val="24"/>
          <w:szCs w:val="24"/>
        </w:rPr>
        <w:t xml:space="preserve">Service Transformation Goals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High-quality services delivered through AI and automation to achieve operational efficiencies across all AMS towers.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Realization of a product-oriented operating model aligned to Horizon’s business domains — Claims, Enrollment, Member, Provider, Data.</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Focused automation — especially in testing and quality engineering — to measurably reduce cost and accelerate delivery cadence.</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AI tools to drive Agile application modernization across the ~1,000-application portfolio.</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Consultative support applying deep healthcare payer best practices — not generic IT outsourcing patterns.</w:t>
      </w:r>
    </w:p>
    <w:p>
      <w:pPr>
        <w:spacing w:after="80" w:before="200"/>
      </w:pPr>
      <w:r>
        <w:rPr>
          <w:rFonts w:ascii="Calibri" w:cs="Calibri" w:eastAsia="Calibri" w:hAnsi="Calibri"/>
          <w:b/>
          <w:bCs/>
          <w:i w:val="false"/>
          <w:iCs w:val="false"/>
          <w:color w:val="001141"/>
          <w:sz w:val="24"/>
          <w:szCs w:val="24"/>
        </w:rPr>
        <w:t xml:space="preserve">Cost Structure Expectations</w:t>
      </w:r>
    </w:p>
    <w:p>
      <w:pPr>
        <w:spacing w:after="100" w:before="0"/>
      </w:pPr>
      <w:r>
        <w:rPr>
          <w:rFonts w:ascii="Calibri" w:cs="Calibri" w:eastAsia="Calibri" w:hAnsi="Calibri"/>
          <w:b w:val="false"/>
          <w:bCs w:val="false"/>
          <w:i w:val="false"/>
          <w:iCs w:val="false"/>
          <w:color w:val="525252"/>
          <w:sz w:val="21"/>
          <w:szCs w:val="21"/>
        </w:rPr>
        <w:t xml:space="preserve">Horizon expects structural cost reduction — not just efficiency gains. The fixed baseline model signals a clear expectation: year-over-year productivity improvements and cost takeout driven by automation and AI, not rate arbitrage. IBM’s response is designed around technology-driven compression: every dollar saved through automation is a permanent reduction, not a temporary deferral.</w:t>
      </w:r>
    </w:p>
    <w:p>
      <w:pPr>
        <w:spacing w:after="80" w:before="200"/>
      </w:pPr>
      <w:r>
        <w:rPr>
          <w:rFonts w:ascii="Calibri" w:cs="Calibri" w:eastAsia="Calibri" w:hAnsi="Calibri"/>
          <w:b/>
          <w:bCs/>
          <w:i w:val="false"/>
          <w:iCs w:val="false"/>
          <w:color w:val="001141"/>
          <w:sz w:val="24"/>
          <w:szCs w:val="24"/>
        </w:rPr>
        <w:t xml:space="preserve">Factors That Shaped IBM’s Solution</w:t>
      </w:r>
    </w:p>
    <w:p>
      <w:pPr>
        <w:spacing w:after="40" w:before="120"/>
      </w:pPr>
      <w:r>
        <w:rPr>
          <w:rFonts w:ascii="Calibri" w:cs="Calibri" w:eastAsia="Calibri" w:hAnsi="Calibri"/>
          <w:b/>
          <w:bCs/>
          <w:i w:val="false"/>
          <w:iCs w:val="false"/>
          <w:color w:val="0F62FE"/>
          <w:sz w:val="21"/>
          <w:szCs w:val="21"/>
        </w:rPr>
        <w:t xml:space="preserve">End-to-End Integrated Delivery</w:t>
      </w:r>
    </w:p>
    <w:p>
      <w:pPr>
        <w:spacing w:after="100" w:before="0"/>
      </w:pPr>
      <w:r>
        <w:rPr>
          <w:rFonts w:ascii="Calibri" w:cs="Calibri" w:eastAsia="Calibri" w:hAnsi="Calibri"/>
          <w:b w:val="false"/>
          <w:bCs w:val="false"/>
          <w:i w:val="false"/>
          <w:iCs w:val="false"/>
          <w:color w:val="525252"/>
          <w:sz w:val="21"/>
          <w:szCs w:val="21"/>
        </w:rPr>
        <w:t xml:space="preserve">A unified operating model across Application Maintenance, Development, Testing, and Data — reducing fragmentation and improving accountability across the full lifecycle. No tower silos. No handoff gaps. One team, one backlog, one set of outcomes.</w:t>
      </w:r>
    </w:p>
    <w:p>
      <w:pPr>
        <w:spacing w:after="40" w:before="120"/>
      </w:pPr>
      <w:r>
        <w:rPr>
          <w:rFonts w:ascii="Calibri" w:cs="Calibri" w:eastAsia="Calibri" w:hAnsi="Calibri"/>
          <w:b/>
          <w:bCs/>
          <w:i w:val="false"/>
          <w:iCs w:val="false"/>
          <w:color w:val="0F62FE"/>
          <w:sz w:val="21"/>
          <w:szCs w:val="21"/>
        </w:rPr>
        <w:t xml:space="preserve">AI at the Core — Not Bolted On</w:t>
      </w:r>
    </w:p>
    <w:p>
      <w:pPr>
        <w:spacing w:after="100" w:before="0"/>
      </w:pPr>
      <w:r>
        <w:rPr>
          <w:rFonts w:ascii="Calibri" w:cs="Calibri" w:eastAsia="Calibri" w:hAnsi="Calibri"/>
          <w:b w:val="false"/>
          <w:bCs w:val="false"/>
          <w:i w:val="false"/>
          <w:iCs w:val="false"/>
          <w:color w:val="525252"/>
          <w:sz w:val="21"/>
          <w:szCs w:val="21"/>
        </w:rPr>
        <w:t xml:space="preserve">AI is embedded in triage, root cause analysis, resolution, test automation, and continuous validation — from the first day of delivery. IBM does not propose adding AI tools to an existing operating model. IBM proposes a new operating model where AI is the foundation.</w:t>
      </w:r>
    </w:p>
    <w:p>
      <w:pPr>
        <w:spacing w:after="40" w:before="120"/>
      </w:pPr>
      <w:r>
        <w:rPr>
          <w:rFonts w:ascii="Calibri" w:cs="Calibri" w:eastAsia="Calibri" w:hAnsi="Calibri"/>
          <w:b/>
          <w:bCs/>
          <w:i w:val="false"/>
          <w:iCs w:val="false"/>
          <w:color w:val="0F62FE"/>
          <w:sz w:val="21"/>
          <w:szCs w:val="21"/>
        </w:rPr>
        <w:t xml:space="preserve">Transition Without Disruption</w:t>
      </w:r>
    </w:p>
    <w:p>
      <w:pPr>
        <w:spacing w:after="100" w:before="0"/>
      </w:pPr>
      <w:r>
        <w:rPr>
          <w:rFonts w:ascii="Calibri" w:cs="Calibri" w:eastAsia="Calibri" w:hAnsi="Calibri"/>
          <w:b w:val="false"/>
          <w:bCs w:val="false"/>
          <w:i w:val="false"/>
          <w:iCs w:val="false"/>
          <w:color w:val="525252"/>
          <w:sz w:val="21"/>
          <w:szCs w:val="21"/>
        </w:rPr>
        <w:t xml:space="preserve">IBM’s phased transition approach maintains seamless service continuity while progressively modernizing the underlying operating model. Zero production disruption. Zero member impact. Zero learning curve at Horizon’s expense.</w:t>
      </w:r>
    </w:p>
    <w:p>
      <w:pPr>
        <w:spacing w:after="40" w:before="120"/>
      </w:pPr>
      <w:r>
        <w:rPr>
          <w:rFonts w:ascii="Calibri" w:cs="Calibri" w:eastAsia="Calibri" w:hAnsi="Calibri"/>
          <w:b/>
          <w:bCs/>
          <w:i w:val="false"/>
          <w:iCs w:val="false"/>
          <w:color w:val="0F62FE"/>
          <w:sz w:val="21"/>
          <w:szCs w:val="21"/>
        </w:rPr>
        <w:t xml:space="preserve">Open, Elastic Architecture</w:t>
      </w:r>
    </w:p>
    <w:p>
      <w:pPr>
        <w:spacing w:after="100" w:before="0"/>
      </w:pPr>
      <w:r>
        <w:rPr>
          <w:rFonts w:ascii="Calibri" w:cs="Calibri" w:eastAsia="Calibri" w:hAnsi="Calibri"/>
          <w:b w:val="false"/>
          <w:bCs w:val="false"/>
          <w:i w:val="false"/>
          <w:iCs w:val="false"/>
          <w:color w:val="525252"/>
          <w:sz w:val="21"/>
          <w:szCs w:val="21"/>
        </w:rPr>
        <w:t xml:space="preserve">Plug-and-play architecture deploys on Horizon’s existing AWS stack — avoiding lock-in and enabling flexibility across cloud ecosystems. Built for Horizon’s technology choices, not IBM’s.</w:t>
      </w:r>
    </w:p>
    <w:p>
      <w:pPr>
        <w:spacing w:after="120" w:before="0"/>
      </w:pPr>
      <w:r>
        <w:rPr>
          <w:rFonts w:ascii="Calibri" w:cs="Calibri" w:eastAsia="Calibri" w:hAnsi="Calibri"/>
          <w:sz w:val="12"/>
          <w:szCs w:val="12"/>
        </w:rPr>
        <w:t xml:space="preserve"/>
      </w:r>
    </w:p>
    <w:p>
      <w:pPr>
        <w:spacing w:after="80" w:before="0"/>
      </w:pPr>
      <w:r>
        <w:rPr>
          <w:rFonts w:ascii="Calibri" w:cs="Calibri" w:eastAsia="Calibri" w:hAnsi="Calibri"/>
          <w:sz w:val="12"/>
          <w:szCs w:val="12"/>
        </w:rPr>
        <w:t xml:space="preserve"/>
      </w:r>
    </w:p>
    <w:p>
      <w:pPr>
        <w:pBdr>
          <w:left w:val="single" w:color="0F62FE" w:sz="20" w:space="12"/>
        </w:pBdr>
        <w:spacing w:after="40" w:before="60"/>
        <w:ind w:left="576"/>
      </w:pPr>
      <w:r>
        <w:rPr>
          <w:rFonts w:ascii="Calibri" w:cs="Calibri" w:eastAsia="Calibri" w:hAnsi="Calibri"/>
          <w:b w:val="false"/>
          <w:bCs w:val="false"/>
          <w:i/>
          <w:iCs/>
          <w:color w:val="001141"/>
          <w:sz w:val="23"/>
          <w:szCs w:val="23"/>
        </w:rPr>
        <w:t xml:space="preserve">“IBM’s solution shifts Horizon from reactive incident management to predictive, autonomous operations — where the member never feels the friction and the provider never waits.”</w:t>
      </w:r>
    </w:p>
    <w:p>
      <w:pPr>
        <w:spacing w:after="100" w:before="0"/>
      </w:pPr>
      <w:r>
        <w:rPr>
          <w:rFonts w:ascii="Calibri" w:cs="Calibri" w:eastAsia="Calibri" w:hAnsi="Calibri"/>
          <w:sz w:val="12"/>
          <w:szCs w:val="12"/>
        </w:rPr>
        <w:t xml:space="preserve"/>
      </w:r>
    </w:p>
    <w:p>
      <w:pPr>
        <w:spacing w:after="80" w:before="200"/>
      </w:pPr>
      <w:r>
        <w:rPr>
          <w:rFonts w:ascii="Calibri" w:cs="Calibri" w:eastAsia="Calibri" w:hAnsi="Calibri"/>
          <w:b/>
          <w:bCs/>
          <w:i w:val="false"/>
          <w:iCs w:val="false"/>
          <w:color w:val="001141"/>
          <w:sz w:val="24"/>
          <w:szCs w:val="24"/>
        </w:rPr>
        <w:t xml:space="preserve">Current State vs. IBM Target — Key Operational Metrics</w:t>
      </w:r>
    </w:p>
    <w:p>
      <w:pPr>
        <w:spacing w:after="120" w:before="0"/>
      </w:pPr>
      <w:r>
        <w:rPr>
          <w:rFonts w:ascii="Calibri" w:cs="Calibri" w:eastAsia="Calibri" w:hAnsi="Calibri"/>
          <w:b w:val="false"/>
          <w:bCs w:val="false"/>
          <w:i/>
          <w:iCs/>
          <w:color w:val="8D8D8D"/>
          <w:sz w:val="19"/>
          <w:szCs w:val="19"/>
        </w:rPr>
        <w:t xml:space="preserve">All current-state estimates are directional and will be formally baselined during SOW phase. IBM’s committed targets will be contractually agreed at programme commencement. See Appendix for the complete initiative portfolio.</w:t>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gridCol w:w="100"/>
      </w:tblGrid>
      <w:tr>
        <w:tc>
          <w:tcPr>
            <w:tcW w:type="dxa" w:w="3370"/>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Operational Metric</w:t>
            </w:r>
          </w:p>
        </w:tc>
        <w:tc>
          <w:tcPr>
            <w:tcW w:type="dxa" w:w="1872"/>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Current State</w:t>
            </w:r>
          </w:p>
        </w:tc>
        <w:tc>
          <w:tcPr>
            <w:tcW w:type="dxa" w:w="2246"/>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IBM 12-Month Target</w:t>
            </w:r>
          </w:p>
        </w:tc>
        <w:tc>
          <w:tcPr>
            <w:tcW w:type="dxa" w:w="1872"/>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Direction</w:t>
            </w:r>
          </w:p>
        </w:tc>
      </w:tr>
      <w:tr>
        <w:tc>
          <w:tcPr>
            <w:tcW w:type="dxa" w:w="3370"/>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Test Automation Coverage</w:t>
            </w:r>
          </w:p>
        </w:tc>
        <w:tc>
          <w:tcPr>
            <w:tcW w:type="dxa" w:w="187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20"/>
                <w:szCs w:val="20"/>
              </w:rPr>
              <w:t xml:space="preserve">~25%</w:t>
            </w:r>
          </w:p>
        </w:tc>
        <w:tc>
          <w:tcPr>
            <w:tcW w:type="dxa" w:w="2246"/>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80%+</w:t>
            </w:r>
          </w:p>
        </w:tc>
        <w:tc>
          <w:tcPr>
            <w:tcW w:type="dxa" w:w="187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 +3×</w:t>
            </w:r>
          </w:p>
        </w:tc>
      </w:tr>
      <w:tr>
        <w:tc>
          <w:tcPr>
            <w:tcW w:type="dxa" w:w="3370"/>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MTTR (Mean Time to Resolve)</w:t>
            </w:r>
          </w:p>
        </w:tc>
        <w:tc>
          <w:tcPr>
            <w:tcW w:type="dxa" w:w="187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20"/>
                <w:szCs w:val="20"/>
              </w:rPr>
              <w:t xml:space="preserve">&gt; 4 hours</w:t>
            </w:r>
          </w:p>
        </w:tc>
        <w:tc>
          <w:tcPr>
            <w:tcW w:type="dxa" w:w="2246"/>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&lt; 1.8 hours</w:t>
            </w:r>
          </w:p>
        </w:tc>
        <w:tc>
          <w:tcPr>
            <w:tcW w:type="dxa" w:w="187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 55%</w:t>
            </w:r>
          </w:p>
        </w:tc>
      </w:tr>
      <w:tr>
        <w:tc>
          <w:tcPr>
            <w:tcW w:type="dxa" w:w="3370"/>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Defect Escape to Production</w:t>
            </w:r>
          </w:p>
        </w:tc>
        <w:tc>
          <w:tcPr>
            <w:tcW w:type="dxa" w:w="187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20"/>
                <w:szCs w:val="20"/>
              </w:rPr>
              <w:t xml:space="preserve">High / Untracked</w:t>
            </w:r>
          </w:p>
        </w:tc>
        <w:tc>
          <w:tcPr>
            <w:tcW w:type="dxa" w:w="2246"/>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65% Reduction</w:t>
            </w:r>
          </w:p>
        </w:tc>
        <w:tc>
          <w:tcPr>
            <w:tcW w:type="dxa" w:w="187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 Best-in-class</w:t>
            </w:r>
          </w:p>
        </w:tc>
      </w:tr>
      <w:tr>
        <w:tc>
          <w:tcPr>
            <w:tcW w:type="dxa" w:w="3370"/>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Incident P3/P4 Auto-Resolution</w:t>
            </w:r>
          </w:p>
        </w:tc>
        <w:tc>
          <w:tcPr>
            <w:tcW w:type="dxa" w:w="187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20"/>
                <w:szCs w:val="20"/>
              </w:rPr>
              <w:t xml:space="preserve">&lt; 10%</w:t>
            </w:r>
          </w:p>
        </w:tc>
        <w:tc>
          <w:tcPr>
            <w:tcW w:type="dxa" w:w="2246"/>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&gt; 74%</w:t>
            </w:r>
          </w:p>
        </w:tc>
        <w:tc>
          <w:tcPr>
            <w:tcW w:type="dxa" w:w="187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 7×</w:t>
            </w:r>
          </w:p>
        </w:tc>
      </w:tr>
      <w:tr>
        <w:tc>
          <w:tcPr>
            <w:tcW w:type="dxa" w:w="3370"/>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Regression Cycle Time</w:t>
            </w:r>
          </w:p>
        </w:tc>
        <w:tc>
          <w:tcPr>
            <w:tcW w:type="dxa" w:w="187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20"/>
                <w:szCs w:val="20"/>
              </w:rPr>
              <w:t xml:space="preserve">Multi-day manual</w:t>
            </w:r>
          </w:p>
        </w:tc>
        <w:tc>
          <w:tcPr>
            <w:tcW w:type="dxa" w:w="2246"/>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70% Faster</w:t>
            </w:r>
          </w:p>
        </w:tc>
        <w:tc>
          <w:tcPr>
            <w:tcW w:type="dxa" w:w="187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 Automated</w:t>
            </w:r>
          </w:p>
        </w:tc>
      </w:tr>
      <w:tr>
        <w:tc>
          <w:tcPr>
            <w:tcW w:type="dxa" w:w="3370"/>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Alert Noise per Shift</w:t>
            </w:r>
          </w:p>
        </w:tc>
        <w:tc>
          <w:tcPr>
            <w:tcW w:type="dxa" w:w="187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20"/>
                <w:szCs w:val="20"/>
              </w:rPr>
              <w:t xml:space="preserve">Unfiltered</w:t>
            </w:r>
          </w:p>
        </w:tc>
        <w:tc>
          <w:tcPr>
            <w:tcW w:type="dxa" w:w="2246"/>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&gt; 60% Reduced</w:t>
            </w:r>
          </w:p>
        </w:tc>
        <w:tc>
          <w:tcPr>
            <w:tcW w:type="dxa" w:w="187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 AI-filtered</w:t>
            </w:r>
          </w:p>
        </w:tc>
      </w:tr>
      <w:tr>
        <w:tc>
          <w:tcPr>
            <w:tcW w:type="dxa" w:w="3370"/>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Enrollment Error Ticket Rate</w:t>
            </w:r>
          </w:p>
        </w:tc>
        <w:tc>
          <w:tcPr>
            <w:tcW w:type="dxa" w:w="187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20"/>
                <w:szCs w:val="20"/>
              </w:rPr>
              <w:t xml:space="preserve">High / Reactive</w:t>
            </w:r>
          </w:p>
        </w:tc>
        <w:tc>
          <w:tcPr>
            <w:tcW w:type="dxa" w:w="2246"/>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~110 tickets/mo saved</w:t>
            </w:r>
          </w:p>
        </w:tc>
        <w:tc>
          <w:tcPr>
            <w:tcW w:type="dxa" w:w="1872"/>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 Zero-touch</w:t>
            </w:r>
          </w:p>
        </w:tc>
      </w:tr>
      <w:tr>
        <w:tc>
          <w:tcPr>
            <w:tcW w:type="dxa" w:w="3370"/>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System Availability (AMS)</w:t>
            </w:r>
          </w:p>
        </w:tc>
        <w:tc>
          <w:tcPr>
            <w:tcW w:type="dxa" w:w="187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20"/>
                <w:szCs w:val="20"/>
              </w:rPr>
              <w:t xml:space="preserve">~99.7%</w:t>
            </w:r>
          </w:p>
        </w:tc>
        <w:tc>
          <w:tcPr>
            <w:tcW w:type="dxa" w:w="2246"/>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99.9%+</w:t>
            </w:r>
          </w:p>
        </w:tc>
        <w:tc>
          <w:tcPr>
            <w:tcW w:type="dxa" w:w="1872"/>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 AI-ops</w:t>
            </w:r>
          </w:p>
        </w:tc>
      </w:tr>
    </w:tbl>
    <w:p>
      <w:pPr>
        <w:pageBreakBefore/>
        <w:pBdr>
          <w:top w:val="single" w:color="0F62FE" w:sz="20" w:space="10"/>
        </w:pBdr>
        <w:spacing w:after="80" w:before="0"/>
      </w:pPr>
    </w:p>
    <w:p>
      <w:pPr>
        <w:spacing w:after="60" w:before="0"/>
      </w:pPr>
      <w:r>
        <w:rPr>
          <w:rFonts w:ascii="Calibri" w:cs="Calibri" w:eastAsia="Calibri" w:hAnsi="Calibri"/>
          <w:b/>
          <w:bCs/>
          <w:i w:val="false"/>
          <w:iCs w:val="false"/>
          <w:color w:val="0F62FE"/>
          <w:sz w:val="19"/>
          <w:szCs w:val="19"/>
        </w:rPr>
        <w:t xml:space="preserve">03  </w:t>
      </w:r>
      <w:r>
        <w:rPr>
          <w:rFonts w:ascii="Calibri" w:cs="Calibri" w:eastAsia="Calibri" w:hAnsi="Calibri"/>
          <w:b/>
          <w:bCs/>
          <w:i w:val="false"/>
          <w:iCs w:val="false"/>
          <w:color w:val="001141"/>
          <w:sz w:val="36"/>
          <w:szCs w:val="36"/>
        </w:rPr>
        <w:t xml:space="preserve">AI-First Application Development</w:t>
      </w:r>
    </w:p>
    <w:p>
      <w:pPr>
        <w:spacing w:after="160" w:before="0"/>
      </w:pPr>
      <w:r>
        <w:rPr>
          <w:rFonts w:ascii="Calibri" w:cs="Calibri" w:eastAsia="Calibri" w:hAnsi="Calibri"/>
          <w:b w:val="false"/>
          <w:bCs w:val="false"/>
          <w:i/>
          <w:iCs/>
          <w:color w:val="8D8D8D"/>
          <w:sz w:val="20"/>
          <w:szCs w:val="20"/>
        </w:rPr>
        <w:t xml:space="preserve">Agentic Engineering, Risk-Scored Pipelines &amp; Domain-Aligned Product Squads</w:t>
      </w:r>
    </w:p>
    <w:p>
      <w:pPr>
        <w:spacing w:after="80" w:before="0"/>
      </w:pPr>
      <w:r>
        <w:rPr>
          <w:rFonts w:ascii="Calibri" w:cs="Calibri" w:eastAsia="Calibri" w:hAnsi="Calibri"/>
          <w:sz w:val="12"/>
          <w:szCs w:val="12"/>
        </w:rPr>
        <w:t xml:space="preserve"/>
      </w:r>
    </w:p>
    <w:p>
      <w:pPr>
        <w:pBdr>
          <w:left w:val="single" w:color="0F62FE" w:sz="20" w:space="12"/>
        </w:pBdr>
        <w:spacing w:after="40" w:before="60"/>
        <w:ind w:left="576"/>
      </w:pPr>
      <w:r>
        <w:rPr>
          <w:rFonts w:ascii="Calibri" w:cs="Calibri" w:eastAsia="Calibri" w:hAnsi="Calibri"/>
          <w:b w:val="false"/>
          <w:bCs w:val="false"/>
          <w:i/>
          <w:iCs/>
          <w:color w:val="001141"/>
          <w:sz w:val="23"/>
          <w:szCs w:val="23"/>
        </w:rPr>
        <w:t xml:space="preserve">“When a member’s enrollment takes two weeks because a downstream application is slow, that is not a technology problem — that is a trust problem. Every sprint IBM delivers is measured by whether that member’s experience got better.”</w:t>
      </w:r>
    </w:p>
    <w:p>
      <w:pPr>
        <w:spacing w:after="120" w:before="0"/>
        <w:jc w:val="right"/>
      </w:pPr>
      <w:r>
        <w:rPr>
          <w:rFonts w:ascii="Calibri" w:cs="Calibri" w:eastAsia="Calibri" w:hAnsi="Calibri"/>
          <w:b/>
          <w:bCs/>
          <w:i w:val="false"/>
          <w:iCs w:val="false"/>
          <w:color w:val="0F62FE"/>
          <w:sz w:val="18"/>
          <w:szCs w:val="18"/>
        </w:rPr>
        <w:t xml:space="preserve">— IBM Consulting — Member Experience Engineering</w:t>
      </w:r>
    </w:p>
    <w:p>
      <w:pPr>
        <w:spacing w:after="80" w:before="200"/>
      </w:pPr>
      <w:r>
        <w:rPr>
          <w:rFonts w:ascii="Calibri" w:cs="Calibri" w:eastAsia="Calibri" w:hAnsi="Calibri"/>
          <w:b/>
          <w:bCs/>
          <w:i w:val="false"/>
          <w:iCs w:val="false"/>
          <w:color w:val="001141"/>
          <w:sz w:val="24"/>
          <w:szCs w:val="24"/>
        </w:rPr>
        <w:t xml:space="preserve">AI-Augmented Development Model</w:t>
      </w:r>
    </w:p>
    <w:p>
      <w:pPr>
        <w:spacing w:after="100" w:before="0"/>
      </w:pPr>
      <w:r>
        <w:rPr>
          <w:rFonts w:ascii="Calibri" w:cs="Calibri" w:eastAsia="Calibri" w:hAnsi="Calibri"/>
          <w:b w:val="false"/>
          <w:bCs w:val="false"/>
          <w:i w:val="false"/>
          <w:iCs w:val="false"/>
          <w:color w:val="525252"/>
          <w:sz w:val="21"/>
          <w:szCs w:val="21"/>
        </w:rPr>
        <w:t xml:space="preserve">IBM transforms Horizon’s engineering model from a traditional project-centric approach to a modern, product-centric engineering organization — powered by IBM Consulting Advantage accelerators and reusable enterprise assets. AI is not an add-on to the development process. AI is the development process.</w:t>
      </w:r>
    </w:p>
    <w:p>
      <w:pPr>
        <w:spacing w:after="100" w:before="0"/>
      </w:pPr>
      <w:r>
        <w:rPr>
          <w:rFonts w:ascii="Calibri" w:cs="Calibri" w:eastAsia="Calibri" w:hAnsi="Calibri"/>
          <w:b w:val="false"/>
          <w:bCs w:val="false"/>
          <w:i w:val="false"/>
          <w:iCs w:val="false"/>
          <w:color w:val="525252"/>
          <w:sz w:val="21"/>
          <w:szCs w:val="21"/>
        </w:rPr>
        <w:t xml:space="preserve">Across Horizon’s ~1,000-application estate, IBM’s development model delivers measurable improvement in speed, quality, and cost — without adding headcount. The model is designed to compound: every sprint produces not just features, but better tooling, better patterns, and better institutional knowledge.</w:t>
      </w:r>
    </w:p>
    <w:p>
      <w:pPr>
        <w:spacing w:after="40" w:before="120"/>
      </w:pPr>
      <w:r>
        <w:rPr>
          <w:rFonts w:ascii="Calibri" w:cs="Calibri" w:eastAsia="Calibri" w:hAnsi="Calibri"/>
          <w:b/>
          <w:bCs/>
          <w:i w:val="false"/>
          <w:iCs w:val="false"/>
          <w:color w:val="0F62FE"/>
          <w:sz w:val="21"/>
          <w:szCs w:val="21"/>
        </w:rPr>
        <w:t xml:space="preserve">AI-Assisted Development</w:t>
      </w:r>
    </w:p>
    <w:p>
      <w:pPr>
        <w:spacing w:after="100" w:before="0"/>
      </w:pPr>
      <w:r>
        <w:rPr>
          <w:rFonts w:ascii="Calibri" w:cs="Calibri" w:eastAsia="Calibri" w:hAnsi="Calibri"/>
          <w:b w:val="false"/>
          <w:bCs w:val="false"/>
          <w:i w:val="false"/>
          <w:iCs w:val="false"/>
          <w:color w:val="525252"/>
          <w:sz w:val="21"/>
          <w:szCs w:val="21"/>
        </w:rPr>
        <w:t xml:space="preserve">Generative AI tools accelerate code generation, review, documentation, and optimization. Developer throughput increases 25–35% without adding headcount. Every engineer spends more time on high-value problem-solving and less on repetitive scaffolding. IBM Consulting Advantage accelerators — a portfolio of 6,500+ production-tested assets — compress time-to-value for common patterns.</w:t>
      </w:r>
    </w:p>
    <w:p>
      <w:pPr>
        <w:spacing w:after="40" w:before="120"/>
      </w:pPr>
      <w:r>
        <w:rPr>
          <w:rFonts w:ascii="Calibri" w:cs="Calibri" w:eastAsia="Calibri" w:hAnsi="Calibri"/>
          <w:b/>
          <w:bCs/>
          <w:i w:val="false"/>
          <w:iCs w:val="false"/>
          <w:color w:val="0F62FE"/>
          <w:sz w:val="21"/>
          <w:szCs w:val="21"/>
        </w:rPr>
        <w:t xml:space="preserve">DevSecOps Integration</w:t>
      </w:r>
    </w:p>
    <w:p>
      <w:pPr>
        <w:spacing w:after="100" w:before="0"/>
      </w:pPr>
      <w:r>
        <w:rPr>
          <w:rFonts w:ascii="Calibri" w:cs="Calibri" w:eastAsia="Calibri" w:hAnsi="Calibri"/>
          <w:b w:val="false"/>
          <w:bCs w:val="false"/>
          <w:i w:val="false"/>
          <w:iCs w:val="false"/>
          <w:color w:val="525252"/>
          <w:sz w:val="21"/>
          <w:szCs w:val="21"/>
        </w:rPr>
        <w:t xml:space="preserve">Security is embedded left into CI/CD pipelines. Automated vulnerability scanning runs at every stage. Compliance gates and policy enforcement operate from commit to production — no manual security review bottlenecks. HIPAA, CMS, and PCI compliance checks are automated, not manual.</w:t>
      </w:r>
    </w:p>
    <w:p>
      <w:pPr>
        <w:spacing w:after="40" w:before="120"/>
      </w:pPr>
      <w:r>
        <w:rPr>
          <w:rFonts w:ascii="Calibri" w:cs="Calibri" w:eastAsia="Calibri" w:hAnsi="Calibri"/>
          <w:b/>
          <w:bCs/>
          <w:i w:val="false"/>
          <w:iCs w:val="false"/>
          <w:color w:val="0F62FE"/>
          <w:sz w:val="21"/>
          <w:szCs w:val="21"/>
        </w:rPr>
        <w:t xml:space="preserve">Domain-Aligned Product Squads</w:t>
      </w:r>
    </w:p>
    <w:p>
      <w:pPr>
        <w:spacing w:after="100" w:before="0"/>
      </w:pPr>
      <w:r>
        <w:rPr>
          <w:rFonts w:ascii="Calibri" w:cs="Calibri" w:eastAsia="Calibri" w:hAnsi="Calibri"/>
          <w:b w:val="false"/>
          <w:bCs w:val="false"/>
          <w:i w:val="false"/>
          <w:iCs w:val="false"/>
          <w:color w:val="525252"/>
          <w:sz w:val="21"/>
          <w:szCs w:val="21"/>
        </w:rPr>
        <w:t xml:space="preserve">Teams align to Horizon’s business domains — Claims, Enrollment, Member Services, Provider Operations, Data &amp; Analytics. Context stays with the squad. Handoff overhead disappears. Accountability is end-to-end. A claims developer understands claims — not just code.</w:t>
      </w:r>
    </w:p>
    <w:p>
      <w:pPr>
        <w:spacing w:after="40" w:before="120"/>
      </w:pPr>
      <w:r>
        <w:rPr>
          <w:rFonts w:ascii="Calibri" w:cs="Calibri" w:eastAsia="Calibri" w:hAnsi="Calibri"/>
          <w:b/>
          <w:bCs/>
          <w:i w:val="false"/>
          <w:iCs w:val="false"/>
          <w:color w:val="0F62FE"/>
          <w:sz w:val="21"/>
          <w:szCs w:val="21"/>
        </w:rPr>
        <w:t xml:space="preserve">Risk-Scored Automated Releases</w:t>
      </w:r>
    </w:p>
    <w:p>
      <w:pPr>
        <w:spacing w:after="100" w:before="0"/>
      </w:pPr>
      <w:r>
        <w:rPr>
          <w:rFonts w:ascii="Calibri" w:cs="Calibri" w:eastAsia="Calibri" w:hAnsi="Calibri"/>
          <w:b w:val="false"/>
          <w:bCs w:val="false"/>
          <w:i w:val="false"/>
          <w:iCs w:val="false"/>
          <w:color w:val="525252"/>
          <w:sz w:val="21"/>
          <w:szCs w:val="21"/>
        </w:rPr>
        <w:t xml:space="preserve">Every deployment passes through AI-scored gates: security posture, test coverage, performance regression, and historical failure patterns. Low-risk changes deploy without human approval cycles. High-risk changes trigger additional validation — automatically. The result: faster delivery with fewer production incidents.</w:t>
      </w:r>
    </w:p>
    <w:p>
      <w:pPr>
        <w:spacing w:after="40" w:before="120"/>
      </w:pPr>
      <w:r>
        <w:rPr>
          <w:rFonts w:ascii="Calibri" w:cs="Calibri" w:eastAsia="Calibri" w:hAnsi="Calibri"/>
          <w:b/>
          <w:bCs/>
          <w:i w:val="false"/>
          <w:iCs w:val="false"/>
          <w:color w:val="0F62FE"/>
          <w:sz w:val="21"/>
          <w:szCs w:val="21"/>
        </w:rPr>
        <w:t xml:space="preserve">Modernization in Stride</w:t>
      </w:r>
    </w:p>
    <w:p>
      <w:pPr>
        <w:spacing w:after="100" w:before="0"/>
      </w:pPr>
      <w:r>
        <w:rPr>
          <w:rFonts w:ascii="Calibri" w:cs="Calibri" w:eastAsia="Calibri" w:hAnsi="Calibri"/>
          <w:b w:val="false"/>
          <w:bCs w:val="false"/>
          <w:i w:val="false"/>
          <w:iCs w:val="false"/>
          <w:color w:val="525252"/>
          <w:sz w:val="21"/>
          <w:szCs w:val="21"/>
        </w:rPr>
        <w:t xml:space="preserve">Modernization is not a separate capital programme. It is embedded into every sprint — a refactor, an API wrap, a library upgrade, a legacy dependency removed. The application estate improves continuously without a disruptive parallel programme or separate budget request.</w:t>
      </w:r>
    </w:p>
    <w:p>
      <w:pPr>
        <w:spacing w:after="120" w:before="0"/>
      </w:pPr>
      <w:r>
        <w:rPr>
          <w:rFonts w:ascii="Calibri" w:cs="Calibri" w:eastAsia="Calibri" w:hAnsi="Calibri"/>
          <w:sz w:val="12"/>
          <w:szCs w:val="12"/>
        </w:rPr>
        <w:t xml:space="preserve"/>
      </w:r>
    </w:p>
    <w:p>
      <w:pPr>
        <w:shd w:fill="EBF2FF" w:val="clear"/>
        <w:spacing w:after="120" w:before="120"/>
        <w:ind w:left="360" w:right="360"/>
      </w:pPr>
      <w:r>
        <w:rPr>
          <w:rFonts w:ascii="Calibri" w:cs="Calibri" w:eastAsia="Calibri" w:hAnsi="Calibri"/>
          <w:b/>
          <w:bCs/>
          <w:i w:val="false"/>
          <w:iCs w:val="false"/>
          <w:color w:val="001141"/>
          <w:sz w:val="21"/>
          <w:szCs w:val="21"/>
        </w:rPr>
        <w:t xml:space="preserve">Target: 25–40% faster time to market across Horizon’s application development portfolio within 12 months of full deployment.</w:t>
      </w:r>
    </w:p>
    <w:p>
      <w:pPr>
        <w:spacing w:after="160" w:before="0"/>
      </w:pPr>
      <w:r>
        <w:rPr>
          <w:rFonts w:ascii="Calibri" w:cs="Calibri" w:eastAsia="Calibri" w:hAnsi="Calibri"/>
          <w:sz w:val="12"/>
          <w:szCs w:val="12"/>
        </w:rPr>
        <w:t xml:space="preserve"/>
      </w:r>
    </w:p>
    <w:p>
      <w:pPr>
        <w:spacing w:after="80" w:before="200"/>
      </w:pPr>
      <w:r>
        <w:rPr>
          <w:rFonts w:ascii="Calibri" w:cs="Calibri" w:eastAsia="Calibri" w:hAnsi="Calibri"/>
          <w:b/>
          <w:bCs/>
          <w:i w:val="false"/>
          <w:iCs w:val="false"/>
          <w:color w:val="001141"/>
          <w:sz w:val="24"/>
          <w:szCs w:val="24"/>
        </w:rPr>
        <w:t xml:space="preserve">Development Efficiency Gains</w:t>
      </w:r>
    </w:p>
    <w:p>
      <w:pPr>
        <w:spacing w:after="120" w:before="0"/>
      </w:pPr>
      <w:r>
        <w:rPr>
          <w:rFonts w:ascii="Calibri" w:cs="Calibri" w:eastAsia="Calibri" w:hAnsi="Calibri"/>
          <w:b w:val="false"/>
          <w:bCs w:val="false"/>
          <w:i/>
          <w:iCs/>
          <w:color w:val="8D8D8D"/>
          <w:sz w:val="19"/>
          <w:szCs w:val="19"/>
        </w:rPr>
        <w:t xml:space="preserve">Measured improvement vs. traditional delivery model at comparable payer engagements:</w:t>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gridCol w:w="100"/>
      </w:tblGrid>
      <w:tr>
        <w:tc>
          <w:tcPr>
            <w:tcW w:type="dxa" w:w="2800"/>
            <w:tcBorders>
              <w:top w:val="none" w:color="auto" w:sz="0"/>
              <w:left w:val="none" w:color="auto" w:sz="0"/>
              <w:bottom w:val="none" w:color="auto" w:sz="0"/>
              <w:right w:val="none" w:color="auto" w:sz="0"/>
            </w:tcBorders>
            <w:shd w:fill="FFFFFF" w:val="clear"/>
            <w:tcMar>
              <w:top w:type="dxa" w:w="60"/>
              <w:bottom w:type="dxa" w:w="60"/>
              <w:right w:type="dxa" w:w="100"/>
            </w:tcMar>
            <w:vAlign w:val="center"/>
          </w:tcPr>
          <w:p>
            <w:pPr>
              <w:spacing w:after="0" w:before="0"/>
            </w:pPr>
            <w:r>
              <w:rPr>
                <w:rFonts w:ascii="Calibri" w:cs="Calibri" w:eastAsia="Calibri" w:hAnsi="Calibri"/>
                <w:b w:val="false"/>
                <w:bCs w:val="false"/>
                <w:i w:val="false"/>
                <w:iCs w:val="false"/>
                <w:color w:val="525252"/>
                <w:sz w:val="19"/>
                <w:szCs w:val="19"/>
              </w:rPr>
              <w:t xml:space="preserve">AI-assisted code generation</w:t>
            </w:r>
          </w:p>
        </w:tc>
        <w:tc>
          <w:tcPr>
            <w:tcW w:type="dxa" w:w="4320"/>
            <w:tcBorders>
              <w:top w:val="none" w:color="auto" w:sz="0"/>
              <w:left w:val="none" w:color="auto" w:sz="0"/>
              <w:bottom w:val="none" w:color="auto" w:sz="0"/>
              <w:right w:val="none" w:color="auto" w:sz="0"/>
            </w:tcBorders>
            <w:shd w:fill="0F62FE" w:val="clear"/>
          </w:tcPr>
          <w:p>
            <w:pPr>
              <w:spacing w:after="0" w:before="0"/>
            </w:pPr>
            <w:r>
              <w:rPr>
                <w:rFonts w:ascii="Calibri" w:cs="Calibri" w:eastAsia="Calibri" w:hAnsi="Calibri"/>
                <w:sz w:val="12"/>
                <w:szCs w:val="12"/>
              </w:rPr>
              <w:t xml:space="preserve"/>
            </w:r>
          </w:p>
        </w:tc>
        <w:tc>
          <w:tcPr>
            <w:tcW w:type="dxa" w:w="1080"/>
            <w:tcBorders>
              <w:top w:val="none" w:color="auto" w:sz="0"/>
              <w:left w:val="none" w:color="auto" w:sz="0"/>
              <w:bottom w:val="none" w:color="auto" w:sz="0"/>
              <w:right w:val="none" w:color="auto" w:sz="0"/>
            </w:tcBorders>
            <w:shd w:fill="E0E0E0" w:val="clear"/>
          </w:tcPr>
          <w:p>
            <w:pPr>
              <w:spacing w:after="0" w:before="0"/>
            </w:pPr>
            <w:r>
              <w:rPr>
                <w:rFonts w:ascii="Calibri" w:cs="Calibri" w:eastAsia="Calibri" w:hAnsi="Calibri"/>
                <w:sz w:val="12"/>
                <w:szCs w:val="12"/>
              </w:rPr>
              <w:t xml:space="preserve"/>
            </w:r>
          </w:p>
        </w:tc>
        <w:tc>
          <w:tcPr>
            <w:tcW w:type="dxa" w:w="1160"/>
            <w:tcBorders>
              <w:top w:val="none" w:color="auto" w:sz="0"/>
              <w:left w:val="none" w:color="auto" w:sz="0"/>
              <w:bottom w:val="none" w:color="auto" w:sz="0"/>
              <w:right w:val="none" w:color="auto" w:sz="0"/>
            </w:tcBorders>
            <w:shd w:fill="FFFFFF" w:val="clear"/>
            <w:tcMar>
              <w:top w:type="dxa" w:w="60"/>
              <w:left w:type="dxa" w:w="100"/>
              <w:bottom w:type="dxa" w:w="60"/>
            </w:tcMar>
            <w:vAlign w:val="center"/>
          </w:tcPr>
          <w:p>
            <w:pPr>
              <w:spacing w:after="0" w:before="0"/>
              <w:jc w:val="right"/>
            </w:pPr>
            <w:r>
              <w:rPr>
                <w:rFonts w:ascii="Calibri" w:cs="Calibri" w:eastAsia="Calibri" w:hAnsi="Calibri"/>
                <w:b/>
                <w:bCs/>
                <w:i w:val="false"/>
                <w:iCs w:val="false"/>
                <w:color w:val="0F62FE"/>
                <w:sz w:val="19"/>
                <w:szCs w:val="19"/>
              </w:rPr>
              <w:t xml:space="preserve">+30% capacity</w:t>
            </w:r>
          </w:p>
        </w:tc>
      </w:tr>
      <w:tr>
        <w:tc>
          <w:tcPr>
            <w:tcW w:type="dxa" w:w="2800"/>
            <w:tcBorders>
              <w:top w:val="none" w:color="auto" w:sz="0"/>
              <w:left w:val="none" w:color="auto" w:sz="0"/>
              <w:bottom w:val="none" w:color="auto" w:sz="0"/>
              <w:right w:val="none" w:color="auto" w:sz="0"/>
            </w:tcBorders>
            <w:shd w:fill="FFFFFF" w:val="clear"/>
            <w:tcMar>
              <w:top w:type="dxa" w:w="60"/>
              <w:bottom w:type="dxa" w:w="60"/>
              <w:right w:type="dxa" w:w="100"/>
            </w:tcMar>
            <w:vAlign w:val="center"/>
          </w:tcPr>
          <w:p>
            <w:pPr>
              <w:spacing w:after="0" w:before="0"/>
            </w:pPr>
            <w:r>
              <w:rPr>
                <w:rFonts w:ascii="Calibri" w:cs="Calibri" w:eastAsia="Calibri" w:hAnsi="Calibri"/>
                <w:b w:val="false"/>
                <w:bCs w:val="false"/>
                <w:i w:val="false"/>
                <w:iCs w:val="false"/>
                <w:color w:val="525252"/>
                <w:sz w:val="19"/>
                <w:szCs w:val="19"/>
              </w:rPr>
              <w:t xml:space="preserve">Automated QE test synthesis</w:t>
            </w:r>
          </w:p>
        </w:tc>
        <w:tc>
          <w:tcPr>
            <w:tcW w:type="dxa" w:w="4050"/>
            <w:tcBorders>
              <w:top w:val="none" w:color="auto" w:sz="0"/>
              <w:left w:val="none" w:color="auto" w:sz="0"/>
              <w:bottom w:val="none" w:color="auto" w:sz="0"/>
              <w:right w:val="none" w:color="auto" w:sz="0"/>
            </w:tcBorders>
            <w:shd w:fill="007D79" w:val="clear"/>
          </w:tcPr>
          <w:p>
            <w:pPr>
              <w:spacing w:after="0" w:before="0"/>
            </w:pPr>
            <w:r>
              <w:rPr>
                <w:rFonts w:ascii="Calibri" w:cs="Calibri" w:eastAsia="Calibri" w:hAnsi="Calibri"/>
                <w:sz w:val="12"/>
                <w:szCs w:val="12"/>
              </w:rPr>
              <w:t xml:space="preserve"/>
            </w:r>
          </w:p>
        </w:tc>
        <w:tc>
          <w:tcPr>
            <w:tcW w:type="dxa" w:w="1350"/>
            <w:tcBorders>
              <w:top w:val="none" w:color="auto" w:sz="0"/>
              <w:left w:val="none" w:color="auto" w:sz="0"/>
              <w:bottom w:val="none" w:color="auto" w:sz="0"/>
              <w:right w:val="none" w:color="auto" w:sz="0"/>
            </w:tcBorders>
            <w:shd w:fill="E0E0E0" w:val="clear"/>
          </w:tcPr>
          <w:p>
            <w:pPr>
              <w:spacing w:after="0" w:before="0"/>
            </w:pPr>
            <w:r>
              <w:rPr>
                <w:rFonts w:ascii="Calibri" w:cs="Calibri" w:eastAsia="Calibri" w:hAnsi="Calibri"/>
                <w:sz w:val="12"/>
                <w:szCs w:val="12"/>
              </w:rPr>
              <w:t xml:space="preserve"/>
            </w:r>
          </w:p>
        </w:tc>
        <w:tc>
          <w:tcPr>
            <w:tcW w:type="dxa" w:w="1160"/>
            <w:tcBorders>
              <w:top w:val="none" w:color="auto" w:sz="0"/>
              <w:left w:val="none" w:color="auto" w:sz="0"/>
              <w:bottom w:val="none" w:color="auto" w:sz="0"/>
              <w:right w:val="none" w:color="auto" w:sz="0"/>
            </w:tcBorders>
            <w:shd w:fill="FFFFFF" w:val="clear"/>
            <w:tcMar>
              <w:top w:type="dxa" w:w="60"/>
              <w:left w:type="dxa" w:w="100"/>
              <w:bottom w:type="dxa" w:w="60"/>
            </w:tcMar>
            <w:vAlign w:val="center"/>
          </w:tcPr>
          <w:p>
            <w:pPr>
              <w:spacing w:after="0" w:before="0"/>
              <w:jc w:val="right"/>
            </w:pPr>
            <w:r>
              <w:rPr>
                <w:rFonts w:ascii="Calibri" w:cs="Calibri" w:eastAsia="Calibri" w:hAnsi="Calibri"/>
                <w:b/>
                <w:bCs/>
                <w:i w:val="false"/>
                <w:iCs w:val="false"/>
                <w:color w:val="007D79"/>
                <w:sz w:val="19"/>
                <w:szCs w:val="19"/>
              </w:rPr>
              <w:t xml:space="preserve">+25% QE speed</w:t>
            </w:r>
          </w:p>
        </w:tc>
      </w:tr>
      <w:tr>
        <w:tc>
          <w:tcPr>
            <w:tcW w:type="dxa" w:w="2800"/>
            <w:tcBorders>
              <w:top w:val="none" w:color="auto" w:sz="0"/>
              <w:left w:val="none" w:color="auto" w:sz="0"/>
              <w:bottom w:val="none" w:color="auto" w:sz="0"/>
              <w:right w:val="none" w:color="auto" w:sz="0"/>
            </w:tcBorders>
            <w:shd w:fill="FFFFFF" w:val="clear"/>
            <w:tcMar>
              <w:top w:type="dxa" w:w="60"/>
              <w:bottom w:type="dxa" w:w="60"/>
              <w:right w:type="dxa" w:w="100"/>
            </w:tcMar>
            <w:vAlign w:val="center"/>
          </w:tcPr>
          <w:p>
            <w:pPr>
              <w:spacing w:after="0" w:before="0"/>
            </w:pPr>
            <w:r>
              <w:rPr>
                <w:rFonts w:ascii="Calibri" w:cs="Calibri" w:eastAsia="Calibri" w:hAnsi="Calibri"/>
                <w:b w:val="false"/>
                <w:bCs w:val="false"/>
                <w:i w:val="false"/>
                <w:iCs w:val="false"/>
                <w:color w:val="525252"/>
                <w:sz w:val="19"/>
                <w:szCs w:val="19"/>
              </w:rPr>
              <w:t xml:space="preserve">Risk-scored deployment pipeline</w:t>
            </w:r>
          </w:p>
        </w:tc>
        <w:tc>
          <w:tcPr>
            <w:tcW w:type="dxa" w:w="3780"/>
            <w:tcBorders>
              <w:top w:val="none" w:color="auto" w:sz="0"/>
              <w:left w:val="none" w:color="auto" w:sz="0"/>
              <w:bottom w:val="none" w:color="auto" w:sz="0"/>
              <w:right w:val="none" w:color="auto" w:sz="0"/>
            </w:tcBorders>
            <w:shd w:fill="0043CE" w:val="clear"/>
          </w:tcPr>
          <w:p>
            <w:pPr>
              <w:spacing w:after="0" w:before="0"/>
            </w:pPr>
            <w:r>
              <w:rPr>
                <w:rFonts w:ascii="Calibri" w:cs="Calibri" w:eastAsia="Calibri" w:hAnsi="Calibri"/>
                <w:sz w:val="12"/>
                <w:szCs w:val="12"/>
              </w:rPr>
              <w:t xml:space="preserve"/>
            </w:r>
          </w:p>
        </w:tc>
        <w:tc>
          <w:tcPr>
            <w:tcW w:type="dxa" w:w="1620"/>
            <w:tcBorders>
              <w:top w:val="none" w:color="auto" w:sz="0"/>
              <w:left w:val="none" w:color="auto" w:sz="0"/>
              <w:bottom w:val="none" w:color="auto" w:sz="0"/>
              <w:right w:val="none" w:color="auto" w:sz="0"/>
            </w:tcBorders>
            <w:shd w:fill="E0E0E0" w:val="clear"/>
          </w:tcPr>
          <w:p>
            <w:pPr>
              <w:spacing w:after="0" w:before="0"/>
            </w:pPr>
            <w:r>
              <w:rPr>
                <w:rFonts w:ascii="Calibri" w:cs="Calibri" w:eastAsia="Calibri" w:hAnsi="Calibri"/>
                <w:sz w:val="12"/>
                <w:szCs w:val="12"/>
              </w:rPr>
              <w:t xml:space="preserve"/>
            </w:r>
          </w:p>
        </w:tc>
        <w:tc>
          <w:tcPr>
            <w:tcW w:type="dxa" w:w="1160"/>
            <w:tcBorders>
              <w:top w:val="none" w:color="auto" w:sz="0"/>
              <w:left w:val="none" w:color="auto" w:sz="0"/>
              <w:bottom w:val="none" w:color="auto" w:sz="0"/>
              <w:right w:val="none" w:color="auto" w:sz="0"/>
            </w:tcBorders>
            <w:shd w:fill="FFFFFF" w:val="clear"/>
            <w:tcMar>
              <w:top w:type="dxa" w:w="60"/>
              <w:left w:type="dxa" w:w="100"/>
              <w:bottom w:type="dxa" w:w="60"/>
            </w:tcMar>
            <w:vAlign w:val="center"/>
          </w:tcPr>
          <w:p>
            <w:pPr>
              <w:spacing w:after="0" w:before="0"/>
              <w:jc w:val="right"/>
            </w:pPr>
            <w:r>
              <w:rPr>
                <w:rFonts w:ascii="Calibri" w:cs="Calibri" w:eastAsia="Calibri" w:hAnsi="Calibri"/>
                <w:b/>
                <w:bCs/>
                <w:i w:val="false"/>
                <w:iCs w:val="false"/>
                <w:color w:val="0043CE"/>
                <w:sz w:val="19"/>
                <w:szCs w:val="19"/>
              </w:rPr>
              <w:t xml:space="preserve">−60% failures</w:t>
            </w:r>
          </w:p>
        </w:tc>
      </w:tr>
      <w:tr>
        <w:tc>
          <w:tcPr>
            <w:tcW w:type="dxa" w:w="2800"/>
            <w:tcBorders>
              <w:top w:val="none" w:color="auto" w:sz="0"/>
              <w:left w:val="none" w:color="auto" w:sz="0"/>
              <w:bottom w:val="none" w:color="auto" w:sz="0"/>
              <w:right w:val="none" w:color="auto" w:sz="0"/>
            </w:tcBorders>
            <w:shd w:fill="FFFFFF" w:val="clear"/>
            <w:tcMar>
              <w:top w:type="dxa" w:w="60"/>
              <w:bottom w:type="dxa" w:w="60"/>
              <w:right w:type="dxa" w:w="100"/>
            </w:tcMar>
            <w:vAlign w:val="center"/>
          </w:tcPr>
          <w:p>
            <w:pPr>
              <w:spacing w:after="0" w:before="0"/>
            </w:pPr>
            <w:r>
              <w:rPr>
                <w:rFonts w:ascii="Calibri" w:cs="Calibri" w:eastAsia="Calibri" w:hAnsi="Calibri"/>
                <w:b w:val="false"/>
                <w:bCs w:val="false"/>
                <w:i w:val="false"/>
                <w:iCs w:val="false"/>
                <w:color w:val="525252"/>
                <w:sz w:val="19"/>
                <w:szCs w:val="19"/>
              </w:rPr>
              <w:t xml:space="preserve">Domain squad alignment</w:t>
            </w:r>
          </w:p>
        </w:tc>
        <w:tc>
          <w:tcPr>
            <w:tcW w:type="dxa" w:w="3510"/>
            <w:tcBorders>
              <w:top w:val="none" w:color="auto" w:sz="0"/>
              <w:left w:val="none" w:color="auto" w:sz="0"/>
              <w:bottom w:val="none" w:color="auto" w:sz="0"/>
              <w:right w:val="none" w:color="auto" w:sz="0"/>
            </w:tcBorders>
            <w:shd w:fill="6929C4" w:val="clear"/>
          </w:tcPr>
          <w:p>
            <w:pPr>
              <w:spacing w:after="0" w:before="0"/>
            </w:pPr>
            <w:r>
              <w:rPr>
                <w:rFonts w:ascii="Calibri" w:cs="Calibri" w:eastAsia="Calibri" w:hAnsi="Calibri"/>
                <w:sz w:val="12"/>
                <w:szCs w:val="12"/>
              </w:rPr>
              <w:t xml:space="preserve"/>
            </w:r>
          </w:p>
        </w:tc>
        <w:tc>
          <w:tcPr>
            <w:tcW w:type="dxa" w:w="1890"/>
            <w:tcBorders>
              <w:top w:val="none" w:color="auto" w:sz="0"/>
              <w:left w:val="none" w:color="auto" w:sz="0"/>
              <w:bottom w:val="none" w:color="auto" w:sz="0"/>
              <w:right w:val="none" w:color="auto" w:sz="0"/>
            </w:tcBorders>
            <w:shd w:fill="E0E0E0" w:val="clear"/>
          </w:tcPr>
          <w:p>
            <w:pPr>
              <w:spacing w:after="0" w:before="0"/>
            </w:pPr>
            <w:r>
              <w:rPr>
                <w:rFonts w:ascii="Calibri" w:cs="Calibri" w:eastAsia="Calibri" w:hAnsi="Calibri"/>
                <w:sz w:val="12"/>
                <w:szCs w:val="12"/>
              </w:rPr>
              <w:t xml:space="preserve"/>
            </w:r>
          </w:p>
        </w:tc>
        <w:tc>
          <w:tcPr>
            <w:tcW w:type="dxa" w:w="1160"/>
            <w:tcBorders>
              <w:top w:val="none" w:color="auto" w:sz="0"/>
              <w:left w:val="none" w:color="auto" w:sz="0"/>
              <w:bottom w:val="none" w:color="auto" w:sz="0"/>
              <w:right w:val="none" w:color="auto" w:sz="0"/>
            </w:tcBorders>
            <w:shd w:fill="FFFFFF" w:val="clear"/>
            <w:tcMar>
              <w:top w:type="dxa" w:w="60"/>
              <w:left w:type="dxa" w:w="100"/>
              <w:bottom w:type="dxa" w:w="60"/>
            </w:tcMar>
            <w:vAlign w:val="center"/>
          </w:tcPr>
          <w:p>
            <w:pPr>
              <w:spacing w:after="0" w:before="0"/>
              <w:jc w:val="right"/>
            </w:pPr>
            <w:r>
              <w:rPr>
                <w:rFonts w:ascii="Calibri" w:cs="Calibri" w:eastAsia="Calibri" w:hAnsi="Calibri"/>
                <w:b/>
                <w:bCs/>
                <w:i w:val="false"/>
                <w:iCs w:val="false"/>
                <w:color w:val="6929C4"/>
                <w:sz w:val="19"/>
                <w:szCs w:val="19"/>
              </w:rPr>
              <w:t xml:space="preserve">−40% handoffs</w:t>
            </w:r>
          </w:p>
        </w:tc>
      </w:tr>
      <w:tr>
        <w:tc>
          <w:tcPr>
            <w:tcW w:type="dxa" w:w="2800"/>
            <w:tcBorders>
              <w:top w:val="none" w:color="auto" w:sz="0"/>
              <w:left w:val="none" w:color="auto" w:sz="0"/>
              <w:bottom w:val="none" w:color="auto" w:sz="0"/>
              <w:right w:val="none" w:color="auto" w:sz="0"/>
            </w:tcBorders>
            <w:shd w:fill="FFFFFF" w:val="clear"/>
            <w:tcMar>
              <w:top w:type="dxa" w:w="60"/>
              <w:bottom w:type="dxa" w:w="60"/>
              <w:right w:type="dxa" w:w="100"/>
            </w:tcMar>
            <w:vAlign w:val="center"/>
          </w:tcPr>
          <w:p>
            <w:pPr>
              <w:spacing w:after="0" w:before="0"/>
            </w:pPr>
            <w:r>
              <w:rPr>
                <w:rFonts w:ascii="Calibri" w:cs="Calibri" w:eastAsia="Calibri" w:hAnsi="Calibri"/>
                <w:b w:val="false"/>
                <w:bCs w:val="false"/>
                <w:i w:val="false"/>
                <w:iCs w:val="false"/>
                <w:color w:val="525252"/>
                <w:sz w:val="19"/>
                <w:szCs w:val="19"/>
              </w:rPr>
              <w:t xml:space="preserve">Modernization-in-stride</w:t>
            </w:r>
          </w:p>
        </w:tc>
        <w:tc>
          <w:tcPr>
            <w:tcW w:type="dxa" w:w="3240"/>
            <w:tcBorders>
              <w:top w:val="none" w:color="auto" w:sz="0"/>
              <w:left w:val="none" w:color="auto" w:sz="0"/>
              <w:bottom w:val="none" w:color="auto" w:sz="0"/>
              <w:right w:val="none" w:color="auto" w:sz="0"/>
            </w:tcBorders>
            <w:shd w:fill="005D5D" w:val="clear"/>
          </w:tcPr>
          <w:p>
            <w:pPr>
              <w:spacing w:after="0" w:before="0"/>
            </w:pPr>
            <w:r>
              <w:rPr>
                <w:rFonts w:ascii="Calibri" w:cs="Calibri" w:eastAsia="Calibri" w:hAnsi="Calibri"/>
                <w:sz w:val="12"/>
                <w:szCs w:val="12"/>
              </w:rPr>
              <w:t xml:space="preserve"/>
            </w:r>
          </w:p>
        </w:tc>
        <w:tc>
          <w:tcPr>
            <w:tcW w:type="dxa" w:w="2160"/>
            <w:tcBorders>
              <w:top w:val="none" w:color="auto" w:sz="0"/>
              <w:left w:val="none" w:color="auto" w:sz="0"/>
              <w:bottom w:val="none" w:color="auto" w:sz="0"/>
              <w:right w:val="none" w:color="auto" w:sz="0"/>
            </w:tcBorders>
            <w:shd w:fill="E0E0E0" w:val="clear"/>
          </w:tcPr>
          <w:p>
            <w:pPr>
              <w:spacing w:after="0" w:before="0"/>
            </w:pPr>
            <w:r>
              <w:rPr>
                <w:rFonts w:ascii="Calibri" w:cs="Calibri" w:eastAsia="Calibri" w:hAnsi="Calibri"/>
                <w:sz w:val="12"/>
                <w:szCs w:val="12"/>
              </w:rPr>
              <w:t xml:space="preserve"/>
            </w:r>
          </w:p>
        </w:tc>
        <w:tc>
          <w:tcPr>
            <w:tcW w:type="dxa" w:w="1160"/>
            <w:tcBorders>
              <w:top w:val="none" w:color="auto" w:sz="0"/>
              <w:left w:val="none" w:color="auto" w:sz="0"/>
              <w:bottom w:val="none" w:color="auto" w:sz="0"/>
              <w:right w:val="none" w:color="auto" w:sz="0"/>
            </w:tcBorders>
            <w:shd w:fill="FFFFFF" w:val="clear"/>
            <w:tcMar>
              <w:top w:type="dxa" w:w="60"/>
              <w:left w:type="dxa" w:w="100"/>
              <w:bottom w:type="dxa" w:w="60"/>
            </w:tcMar>
            <w:vAlign w:val="center"/>
          </w:tcPr>
          <w:p>
            <w:pPr>
              <w:spacing w:after="0" w:before="0"/>
              <w:jc w:val="right"/>
            </w:pPr>
            <w:r>
              <w:rPr>
                <w:rFonts w:ascii="Calibri" w:cs="Calibri" w:eastAsia="Calibri" w:hAnsi="Calibri"/>
                <w:b/>
                <w:bCs/>
                <w:i w:val="false"/>
                <w:iCs w:val="false"/>
                <w:color w:val="005D5D"/>
                <w:sz w:val="19"/>
                <w:szCs w:val="19"/>
              </w:rPr>
              <w:t xml:space="preserve">Debt −30%/yr</w:t>
            </w:r>
          </w:p>
        </w:tc>
      </w:tr>
    </w:tbl>
    <w:p>
      <w:pPr>
        <w:spacing w:after="160" w:before="0"/>
      </w:pPr>
      <w:r>
        <w:rPr>
          <w:rFonts w:ascii="Calibri" w:cs="Calibri" w:eastAsia="Calibri" w:hAnsi="Calibri"/>
          <w:sz w:val="12"/>
          <w:szCs w:val="12"/>
        </w:rPr>
        <w:t xml:space="preserve"/>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gridCol w:w="100"/>
      </w:tblGrid>
      <w:tr>
        <w:tc>
          <w:tcPr>
            <w:tcW w:type="dxa" w:w="2340"/>
            <w:tcBorders>
              <w:top w:val="single" w:color="0F62FE"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F62FE"/>
                <w:sz w:val="56"/>
                <w:szCs w:val="56"/>
              </w:rPr>
              <w:t xml:space="preserve">25–40%</w:t>
            </w:r>
          </w:p>
          <w:p>
            <w:pPr>
              <w:spacing w:after="160" w:before="0"/>
              <w:jc w:val="center"/>
            </w:pPr>
            <w:r>
              <w:rPr>
                <w:rFonts w:ascii="Calibri" w:cs="Calibri" w:eastAsia="Calibri" w:hAnsi="Calibri"/>
                <w:b/>
                <w:bCs/>
                <w:i w:val="false"/>
                <w:iCs w:val="false"/>
                <w:color w:val="001141"/>
                <w:sz w:val="19"/>
                <w:szCs w:val="19"/>
              </w:rPr>
              <w:t xml:space="preserve">Faster Time to Market</w:t>
            </w:r>
          </w:p>
        </w:tc>
        <w:tc>
          <w:tcPr>
            <w:tcW w:type="dxa" w:w="2340"/>
            <w:tcBorders>
              <w:top w:val="single" w:color="0043CE"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043CE"/>
                <w:sz w:val="56"/>
                <w:szCs w:val="56"/>
              </w:rPr>
              <w:t xml:space="preserve">2×</w:t>
            </w:r>
          </w:p>
          <w:p>
            <w:pPr>
              <w:spacing w:after="160" w:before="0"/>
              <w:jc w:val="center"/>
            </w:pPr>
            <w:r>
              <w:rPr>
                <w:rFonts w:ascii="Calibri" w:cs="Calibri" w:eastAsia="Calibri" w:hAnsi="Calibri"/>
                <w:b/>
                <w:bCs/>
                <w:i w:val="false"/>
                <w:iCs w:val="false"/>
                <w:color w:val="001141"/>
                <w:sz w:val="19"/>
                <w:szCs w:val="19"/>
              </w:rPr>
              <w:t xml:space="preserve">Deployment Frequency</w:t>
            </w:r>
          </w:p>
        </w:tc>
        <w:tc>
          <w:tcPr>
            <w:tcW w:type="dxa" w:w="2340"/>
            <w:tcBorders>
              <w:top w:val="single" w:color="007D79"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07D79"/>
                <w:sz w:val="56"/>
                <w:szCs w:val="56"/>
              </w:rPr>
              <w:t xml:space="preserve">−60%</w:t>
            </w:r>
          </w:p>
          <w:p>
            <w:pPr>
              <w:spacing w:after="160" w:before="0"/>
              <w:jc w:val="center"/>
            </w:pPr>
            <w:r>
              <w:rPr>
                <w:rFonts w:ascii="Calibri" w:cs="Calibri" w:eastAsia="Calibri" w:hAnsi="Calibri"/>
                <w:b/>
                <w:bCs/>
                <w:i w:val="false"/>
                <w:iCs w:val="false"/>
                <w:color w:val="001141"/>
                <w:sz w:val="19"/>
                <w:szCs w:val="19"/>
              </w:rPr>
              <w:t xml:space="preserve">Change Failure Rate</w:t>
            </w:r>
          </w:p>
        </w:tc>
        <w:tc>
          <w:tcPr>
            <w:tcW w:type="dxa" w:w="2340"/>
            <w:tcBorders>
              <w:top w:val="single" w:color="6929C4"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6929C4"/>
                <w:sz w:val="56"/>
                <w:szCs w:val="56"/>
              </w:rPr>
              <w:t xml:space="preserve">AI-First</w:t>
            </w:r>
          </w:p>
          <w:p>
            <w:pPr>
              <w:spacing w:after="160" w:before="0"/>
              <w:jc w:val="center"/>
            </w:pPr>
            <w:r>
              <w:rPr>
                <w:rFonts w:ascii="Calibri" w:cs="Calibri" w:eastAsia="Calibri" w:hAnsi="Calibri"/>
                <w:b/>
                <w:bCs/>
                <w:i w:val="false"/>
                <w:iCs w:val="false"/>
                <w:color w:val="001141"/>
                <w:sz w:val="19"/>
                <w:szCs w:val="19"/>
              </w:rPr>
              <w:t xml:space="preserve">Every Sprint, Every Squad</w:t>
            </w:r>
          </w:p>
        </w:tc>
      </w:tr>
    </w:tbl>
    <w:p>
      <w:pPr>
        <w:pageBreakBefore/>
        <w:pBdr>
          <w:top w:val="single" w:color="0F62FE" w:sz="20" w:space="10"/>
        </w:pBdr>
        <w:spacing w:after="80" w:before="0"/>
      </w:pPr>
    </w:p>
    <w:p>
      <w:pPr>
        <w:spacing w:after="60" w:before="0"/>
      </w:pPr>
      <w:r>
        <w:rPr>
          <w:rFonts w:ascii="Calibri" w:cs="Calibri" w:eastAsia="Calibri" w:hAnsi="Calibri"/>
          <w:b/>
          <w:bCs/>
          <w:i w:val="false"/>
          <w:iCs w:val="false"/>
          <w:color w:val="0F62FE"/>
          <w:sz w:val="19"/>
          <w:szCs w:val="19"/>
        </w:rPr>
        <w:t xml:space="preserve">04  </w:t>
      </w:r>
      <w:r>
        <w:rPr>
          <w:rFonts w:ascii="Calibri" w:cs="Calibri" w:eastAsia="Calibri" w:hAnsi="Calibri"/>
          <w:b/>
          <w:bCs/>
          <w:i w:val="false"/>
          <w:iCs w:val="false"/>
          <w:color w:val="001141"/>
          <w:sz w:val="36"/>
          <w:szCs w:val="36"/>
        </w:rPr>
        <w:t xml:space="preserve">Zero-Touch Application Maintenance</w:t>
      </w:r>
    </w:p>
    <w:p>
      <w:pPr>
        <w:spacing w:after="160" w:before="0"/>
      </w:pPr>
      <w:r>
        <w:rPr>
          <w:rFonts w:ascii="Calibri" w:cs="Calibri" w:eastAsia="Calibri" w:hAnsi="Calibri"/>
          <w:b w:val="false"/>
          <w:bCs w:val="false"/>
          <w:i/>
          <w:iCs/>
          <w:color w:val="8D8D8D"/>
          <w:sz w:val="20"/>
          <w:szCs w:val="20"/>
        </w:rPr>
        <w:t xml:space="preserve">From Reactive Firefighting to Self-Healing, Agentic Operations</w:t>
      </w:r>
    </w:p>
    <w:p>
      <w:pPr>
        <w:spacing w:after="80" w:before="0"/>
      </w:pPr>
      <w:r>
        <w:rPr>
          <w:rFonts w:ascii="Calibri" w:cs="Calibri" w:eastAsia="Calibri" w:hAnsi="Calibri"/>
          <w:sz w:val="12"/>
          <w:szCs w:val="12"/>
        </w:rPr>
        <w:t xml:space="preserve"/>
      </w:r>
    </w:p>
    <w:p>
      <w:pPr>
        <w:pBdr>
          <w:left w:val="single" w:color="0F62FE" w:sz="20" w:space="12"/>
        </w:pBdr>
        <w:spacing w:after="40" w:before="60"/>
        <w:ind w:left="576"/>
      </w:pPr>
      <w:r>
        <w:rPr>
          <w:rFonts w:ascii="Calibri" w:cs="Calibri" w:eastAsia="Calibri" w:hAnsi="Calibri"/>
          <w:b w:val="false"/>
          <w:bCs w:val="false"/>
          <w:i/>
          <w:iCs/>
          <w:color w:val="001141"/>
          <w:sz w:val="23"/>
          <w:szCs w:val="23"/>
        </w:rPr>
        <w:t xml:space="preserve">“When a claims system fails at 2 AM, the first responder should be an AI agent — not a sleep-deprived engineer. The provider should never know it happened. The member should never feel the impact. That is what zero-touch means.”</w:t>
      </w:r>
    </w:p>
    <w:p>
      <w:pPr>
        <w:spacing w:after="120" w:before="0"/>
        <w:jc w:val="right"/>
      </w:pPr>
      <w:r>
        <w:rPr>
          <w:rFonts w:ascii="Calibri" w:cs="Calibri" w:eastAsia="Calibri" w:hAnsi="Calibri"/>
          <w:b/>
          <w:bCs/>
          <w:i w:val="false"/>
          <w:iCs w:val="false"/>
          <w:color w:val="0F62FE"/>
          <w:sz w:val="18"/>
          <w:szCs w:val="18"/>
        </w:rPr>
        <w:t xml:space="preserve">— IBM AIOps — Zero-Touch Operations Framework</w:t>
      </w:r>
    </w:p>
    <w:p>
      <w:pPr>
        <w:spacing w:after="80" w:before="200"/>
      </w:pPr>
      <w:r>
        <w:rPr>
          <w:rFonts w:ascii="Calibri" w:cs="Calibri" w:eastAsia="Calibri" w:hAnsi="Calibri"/>
          <w:b/>
          <w:bCs/>
          <w:i w:val="false"/>
          <w:iCs w:val="false"/>
          <w:color w:val="001141"/>
          <w:sz w:val="24"/>
          <w:szCs w:val="24"/>
        </w:rPr>
        <w:t xml:space="preserve">The Agentic AI Architecture</w:t>
      </w:r>
    </w:p>
    <w:p>
      <w:pPr>
        <w:spacing w:after="100" w:before="0"/>
      </w:pPr>
      <w:r>
        <w:rPr>
          <w:rFonts w:ascii="Calibri" w:cs="Calibri" w:eastAsia="Calibri" w:hAnsi="Calibri"/>
          <w:b w:val="false"/>
          <w:bCs w:val="false"/>
          <w:i w:val="false"/>
          <w:iCs w:val="false"/>
          <w:color w:val="525252"/>
          <w:sz w:val="21"/>
          <w:szCs w:val="21"/>
        </w:rPr>
        <w:t xml:space="preserve">IBM’s AIOps framework is built on a multi-agent architecture where specialized AI agents handle distinct responsibilities across the incident lifecycle — from detection through resolution and continuous learning. Each agent compounds knowledge with every resolved incident. Across Horizon’s ~1,000 applications, this architecture replaces reactive human triage with proactive, autonomous intelligence.</w:t>
      </w:r>
    </w:p>
    <w:p>
      <w:pPr>
        <w:spacing w:after="100" w:before="0"/>
      </w:pPr>
      <w:r>
        <w:rPr>
          <w:rFonts w:ascii="Calibri" w:cs="Calibri" w:eastAsia="Calibri" w:hAnsi="Calibri"/>
          <w:b w:val="false"/>
          <w:bCs w:val="false"/>
          <w:i w:val="false"/>
          <w:iCs w:val="false"/>
          <w:color w:val="525252"/>
          <w:sz w:val="21"/>
          <w:szCs w:val="21"/>
        </w:rPr>
        <w:t xml:space="preserve">The architecture is built on Horizon’s existing AWS stack — AWS AgentCore &amp; Bedrock at the agent layer, AWS Bedrock with native Guardrails at the model layer, ElasticSearch and PostgreSQL for vector storage, and integrations with ServiceNow, CloudWatch, OpenShift, Splunk, and Horizon’s Anomaly Framework.</w:t>
      </w:r>
    </w:p>
    <w:p>
      <w:pPr>
        <w:spacing w:after="80" w:before="200"/>
      </w:pPr>
      <w:r>
        <w:rPr>
          <w:rFonts w:ascii="Calibri" w:cs="Calibri" w:eastAsia="Calibri" w:hAnsi="Calibri"/>
          <w:b/>
          <w:bCs/>
          <w:i w:val="false"/>
          <w:iCs w:val="false"/>
          <w:color w:val="001141"/>
          <w:sz w:val="24"/>
          <w:szCs w:val="24"/>
        </w:rPr>
        <w:t xml:space="preserve">Agent Roles</w:t>
      </w:r>
    </w:p>
    <w:p>
      <w:pPr>
        <w:spacing w:after="40" w:before="120"/>
      </w:pPr>
      <w:r>
        <w:rPr>
          <w:rFonts w:ascii="Calibri" w:cs="Calibri" w:eastAsia="Calibri" w:hAnsi="Calibri"/>
          <w:b/>
          <w:bCs/>
          <w:i w:val="false"/>
          <w:iCs w:val="false"/>
          <w:color w:val="0F62FE"/>
          <w:sz w:val="21"/>
          <w:szCs w:val="21"/>
        </w:rPr>
        <w:t xml:space="preserve">Help Desk Agent</w:t>
      </w:r>
    </w:p>
    <w:p>
      <w:pPr>
        <w:spacing w:after="100" w:before="0"/>
      </w:pPr>
      <w:r>
        <w:rPr>
          <w:rFonts w:ascii="Calibri" w:cs="Calibri" w:eastAsia="Calibri" w:hAnsi="Calibri"/>
          <w:b w:val="false"/>
          <w:bCs w:val="false"/>
          <w:i w:val="false"/>
          <w:iCs w:val="false"/>
          <w:color w:val="525252"/>
          <w:sz w:val="21"/>
          <w:szCs w:val="21"/>
        </w:rPr>
        <w:t xml:space="preserve">Delivers context-aware guidance and automated actions to help users auto-resolve issues before ticket creation. The member gets their answer without waiting for a human. The provider’s portal issue is resolved before it becomes a support call.</w:t>
      </w:r>
    </w:p>
    <w:p>
      <w:pPr>
        <w:spacing w:after="40" w:before="120"/>
      </w:pPr>
      <w:r>
        <w:rPr>
          <w:rFonts w:ascii="Calibri" w:cs="Calibri" w:eastAsia="Calibri" w:hAnsi="Calibri"/>
          <w:b/>
          <w:bCs/>
          <w:i w:val="false"/>
          <w:iCs w:val="false"/>
          <w:color w:val="0F62FE"/>
          <w:sz w:val="21"/>
          <w:szCs w:val="21"/>
        </w:rPr>
        <w:t xml:space="preserve">Triage Agent</w:t>
      </w:r>
    </w:p>
    <w:p>
      <w:pPr>
        <w:spacing w:after="100" w:before="0"/>
      </w:pPr>
      <w:r>
        <w:rPr>
          <w:rFonts w:ascii="Calibri" w:cs="Calibri" w:eastAsia="Calibri" w:hAnsi="Calibri"/>
          <w:b w:val="false"/>
          <w:bCs w:val="false"/>
          <w:i w:val="false"/>
          <w:iCs w:val="false"/>
          <w:color w:val="525252"/>
          <w:sz w:val="21"/>
          <w:szCs w:val="21"/>
        </w:rPr>
        <w:t xml:space="preserve">Prioritizes tickets based on impact, urgency, and historical patterns — eliminating manual queue management. The right team responds immediately, every time. A P1 claims outage is routed to the claims pod in seconds, not minutes.</w:t>
      </w:r>
    </w:p>
    <w:p>
      <w:pPr>
        <w:spacing w:after="40" w:before="120"/>
      </w:pPr>
      <w:r>
        <w:rPr>
          <w:rFonts w:ascii="Calibri" w:cs="Calibri" w:eastAsia="Calibri" w:hAnsi="Calibri"/>
          <w:b/>
          <w:bCs/>
          <w:i w:val="false"/>
          <w:iCs w:val="false"/>
          <w:color w:val="0F62FE"/>
          <w:sz w:val="21"/>
          <w:szCs w:val="21"/>
        </w:rPr>
        <w:t xml:space="preserve">Root Cause Analysis Agent</w:t>
      </w:r>
    </w:p>
    <w:p>
      <w:pPr>
        <w:spacing w:after="100" w:before="0"/>
      </w:pPr>
      <w:r>
        <w:rPr>
          <w:rFonts w:ascii="Calibri" w:cs="Calibri" w:eastAsia="Calibri" w:hAnsi="Calibri"/>
          <w:b w:val="false"/>
          <w:bCs w:val="false"/>
          <w:i w:val="false"/>
          <w:iCs w:val="false"/>
          <w:color w:val="525252"/>
          <w:sz w:val="21"/>
          <w:szCs w:val="21"/>
        </w:rPr>
        <w:t xml:space="preserve">Correlates signals across 140+ monitoring sources to identify root cause within minutes — not hours. Diagnosis that used to take a senior engineer now takes an AI agent seconds. Cross-system dependencies are mapped and traced automatically.</w:t>
      </w:r>
    </w:p>
    <w:p>
      <w:pPr>
        <w:spacing w:after="40" w:before="120"/>
      </w:pPr>
      <w:r>
        <w:rPr>
          <w:rFonts w:ascii="Calibri" w:cs="Calibri" w:eastAsia="Calibri" w:hAnsi="Calibri"/>
          <w:b/>
          <w:bCs/>
          <w:i w:val="false"/>
          <w:iCs w:val="false"/>
          <w:color w:val="0F62FE"/>
          <w:sz w:val="21"/>
          <w:szCs w:val="21"/>
        </w:rPr>
        <w:t xml:space="preserve">Resolution Agent</w:t>
      </w:r>
    </w:p>
    <w:p>
      <w:pPr>
        <w:spacing w:after="100" w:before="0"/>
      </w:pPr>
      <w:r>
        <w:rPr>
          <w:rFonts w:ascii="Calibri" w:cs="Calibri" w:eastAsia="Calibri" w:hAnsi="Calibri"/>
          <w:b w:val="false"/>
          <w:bCs w:val="false"/>
          <w:i w:val="false"/>
          <w:iCs w:val="false"/>
          <w:color w:val="525252"/>
          <w:sz w:val="21"/>
          <w:szCs w:val="21"/>
        </w:rPr>
        <w:t xml:space="preserve">Suggests or executes remediation steps based on runbooks and past resolutions. More than 74% of P3/P4 incidents are resolved without human action. The provider never knows the system hiccupped. The member never feels the impact.</w:t>
      </w:r>
    </w:p>
    <w:p>
      <w:pPr>
        <w:spacing w:after="40" w:before="120"/>
      </w:pPr>
      <w:r>
        <w:rPr>
          <w:rFonts w:ascii="Calibri" w:cs="Calibri" w:eastAsia="Calibri" w:hAnsi="Calibri"/>
          <w:b/>
          <w:bCs/>
          <w:i w:val="false"/>
          <w:iCs w:val="false"/>
          <w:color w:val="0F62FE"/>
          <w:sz w:val="21"/>
          <w:szCs w:val="21"/>
        </w:rPr>
        <w:t xml:space="preserve">Runbook Generation Agent</w:t>
      </w:r>
    </w:p>
    <w:p>
      <w:pPr>
        <w:spacing w:after="100" w:before="0"/>
      </w:pPr>
      <w:r>
        <w:rPr>
          <w:rFonts w:ascii="Calibri" w:cs="Calibri" w:eastAsia="Calibri" w:hAnsi="Calibri"/>
          <w:b w:val="false"/>
          <w:bCs w:val="false"/>
          <w:i w:val="false"/>
          <w:iCs w:val="false"/>
          <w:color w:val="525252"/>
          <w:sz w:val="21"/>
          <w:szCs w:val="21"/>
        </w:rPr>
        <w:t xml:space="preserve">Auto-generates and updates runbooks from resolved incidents — compounding operational knowledge over time and eliminating reliance on institutional memory. When a senior engineer leaves, the knowledge stays.</w:t>
      </w:r>
    </w:p>
    <w:p>
      <w:pPr>
        <w:spacing w:after="40" w:before="120"/>
      </w:pPr>
      <w:r>
        <w:rPr>
          <w:rFonts w:ascii="Calibri" w:cs="Calibri" w:eastAsia="Calibri" w:hAnsi="Calibri"/>
          <w:b/>
          <w:bCs/>
          <w:i w:val="false"/>
          <w:iCs w:val="false"/>
          <w:color w:val="0F62FE"/>
          <w:sz w:val="21"/>
          <w:szCs w:val="21"/>
        </w:rPr>
        <w:t xml:space="preserve">Continuous Learning Agent</w:t>
      </w:r>
    </w:p>
    <w:p>
      <w:pPr>
        <w:spacing w:after="100" w:before="0"/>
      </w:pPr>
      <w:r>
        <w:rPr>
          <w:rFonts w:ascii="Calibri" w:cs="Calibri" w:eastAsia="Calibri" w:hAnsi="Calibri"/>
          <w:b w:val="false"/>
          <w:bCs w:val="false"/>
          <w:i w:val="false"/>
          <w:iCs w:val="false"/>
          <w:color w:val="525252"/>
          <w:sz w:val="21"/>
          <w:szCs w:val="21"/>
        </w:rPr>
        <w:t xml:space="preserve">Feeds production telemetry back into all agents, ensuring progressive improvement with every incident cycle. The system gets smarter every day. Month 12 operations are fundamentally more capable than Month 1.</w:t>
      </w:r>
    </w:p>
    <w:p>
      <w:pPr>
        <w:spacing w:after="120" w:before="0"/>
      </w:pPr>
      <w:r>
        <w:rPr>
          <w:rFonts w:ascii="Calibri" w:cs="Calibri" w:eastAsia="Calibri" w:hAnsi="Calibri"/>
          <w:sz w:val="12"/>
          <w:szCs w:val="12"/>
        </w:rPr>
        <w:t xml:space="preserve"/>
      </w:r>
    </w:p>
    <w:p>
      <w:pPr>
        <w:spacing w:after="80" w:before="200"/>
      </w:pPr>
      <w:r>
        <w:rPr>
          <w:rFonts w:ascii="Calibri" w:cs="Calibri" w:eastAsia="Calibri" w:hAnsi="Calibri"/>
          <w:b/>
          <w:bCs/>
          <w:i w:val="false"/>
          <w:iCs w:val="false"/>
          <w:color w:val="001141"/>
          <w:sz w:val="24"/>
          <w:szCs w:val="24"/>
        </w:rPr>
        <w:t xml:space="preserve">Zero-Touch Operations Pipeline</w:t>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gridCol w:w="100"/>
        <w:gridCol w:w="100"/>
      </w:tblGrid>
      <w:tr>
        <w:tc>
          <w:tcPr>
            <w:tcW w:type="dxa" w:w="1872"/>
            <w:tcBorders>
              <w:top w:val="single" w:color="0F62FE" w:sz="18"/>
              <w:left w:val="single" w:color="E0E0E0" w:sz="4"/>
              <w:bottom w:val="single" w:color="E0E0E0" w:sz="4"/>
              <w:right w:val="single" w:color="E0E0E0" w:sz="4"/>
            </w:tcBorders>
            <w:shd w:fill="FFFFFF" w:val="clear"/>
            <w:tcMar>
              <w:top w:type="dxa" w:w="80"/>
              <w:left w:type="dxa" w:w="120"/>
              <w:bottom w:type="dxa" w:w="80"/>
              <w:right w:type="dxa" w:w="120"/>
            </w:tcMar>
          </w:tcPr>
          <w:p>
            <w:pPr>
              <w:spacing w:after="40" w:before="120"/>
              <w:jc w:val="center"/>
            </w:pPr>
            <w:r>
              <w:rPr>
                <w:rFonts w:ascii="Calibri" w:cs="Calibri" w:eastAsia="Calibri" w:hAnsi="Calibri"/>
                <w:b/>
                <w:bCs/>
                <w:i w:val="false"/>
                <w:iCs w:val="false"/>
                <w:color w:val="0F62FE"/>
                <w:sz w:val="15"/>
                <w:szCs w:val="15"/>
              </w:rPr>
              <w:t xml:space="preserve">STEP 1</w:t>
            </w:r>
          </w:p>
          <w:p>
            <w:pPr>
              <w:spacing w:after="80" w:before="0"/>
              <w:jc w:val="center"/>
            </w:pPr>
            <w:r>
              <w:rPr>
                <w:rFonts w:ascii="Calibri" w:cs="Calibri" w:eastAsia="Calibri" w:hAnsi="Calibri"/>
                <w:b/>
                <w:bCs/>
                <w:i w:val="false"/>
                <w:iCs w:val="false"/>
                <w:color w:val="001141"/>
                <w:sz w:val="21"/>
                <w:szCs w:val="21"/>
              </w:rPr>
              <w:t xml:space="preserve">Detect</w:t>
            </w:r>
          </w:p>
          <w:p>
            <w:pPr>
              <w:spacing w:after="40" w:before="0"/>
              <w:jc w:val="center"/>
            </w:pPr>
            <w:r>
              <w:rPr>
                <w:rFonts w:ascii="Calibri" w:cs="Calibri" w:eastAsia="Calibri" w:hAnsi="Calibri"/>
                <w:b w:val="false"/>
                <w:bCs w:val="false"/>
                <w:i w:val="false"/>
                <w:iCs w:val="false"/>
                <w:color w:val="525252"/>
                <w:sz w:val="19"/>
                <w:szCs w:val="19"/>
              </w:rPr>
              <w:t xml:space="preserve">Correlate 140+
sources</w:t>
            </w:r>
          </w:p>
          <w:p>
            <w:pPr>
              <w:spacing w:after="40" w:before="0"/>
              <w:jc w:val="center"/>
            </w:pPr>
            <w:r>
              <w:rPr>
                <w:rFonts w:ascii="Calibri" w:cs="Calibri" w:eastAsia="Calibri" w:hAnsi="Calibri"/>
                <w:b w:val="false"/>
                <w:bCs w:val="false"/>
                <w:i w:val="false"/>
                <w:iCs w:val="false"/>
                <w:color w:val="525252"/>
                <w:sz w:val="19"/>
                <w:szCs w:val="19"/>
              </w:rPr>
              <w:t xml:space="preserve">Cut noise &gt;60%</w:t>
            </w:r>
          </w:p>
          <w:p>
            <w:pPr>
              <w:spacing w:after="80" w:before="0"/>
            </w:pPr>
            <w:r>
              <w:rPr>
                <w:rFonts w:ascii="Calibri" w:cs="Calibri" w:eastAsia="Calibri" w:hAnsi="Calibri"/>
                <w:sz w:val="12"/>
                <w:szCs w:val="12"/>
              </w:rPr>
              <w:t xml:space="preserve"/>
            </w:r>
          </w:p>
        </w:tc>
        <w:tc>
          <w:tcPr>
            <w:tcW w:type="dxa" w:w="1872"/>
            <w:tcBorders>
              <w:top w:val="single" w:color="0072C3" w:sz="18"/>
              <w:left w:val="single" w:color="E0E0E0" w:sz="4"/>
              <w:bottom w:val="single" w:color="E0E0E0" w:sz="4"/>
              <w:right w:val="single" w:color="E0E0E0" w:sz="4"/>
            </w:tcBorders>
            <w:shd w:fill="FFFFFF" w:val="clear"/>
            <w:tcMar>
              <w:top w:type="dxa" w:w="80"/>
              <w:left w:type="dxa" w:w="120"/>
              <w:bottom w:type="dxa" w:w="80"/>
              <w:right w:type="dxa" w:w="120"/>
            </w:tcMar>
          </w:tcPr>
          <w:p>
            <w:pPr>
              <w:spacing w:after="40" w:before="120"/>
              <w:jc w:val="center"/>
            </w:pPr>
            <w:r>
              <w:rPr>
                <w:rFonts w:ascii="Calibri" w:cs="Calibri" w:eastAsia="Calibri" w:hAnsi="Calibri"/>
                <w:b/>
                <w:bCs/>
                <w:i w:val="false"/>
                <w:iCs w:val="false"/>
                <w:color w:val="0072C3"/>
                <w:sz w:val="15"/>
                <w:szCs w:val="15"/>
              </w:rPr>
              <w:t xml:space="preserve">STEP 2</w:t>
            </w:r>
          </w:p>
          <w:p>
            <w:pPr>
              <w:spacing w:after="80" w:before="0"/>
              <w:jc w:val="center"/>
            </w:pPr>
            <w:r>
              <w:rPr>
                <w:rFonts w:ascii="Calibri" w:cs="Calibri" w:eastAsia="Calibri" w:hAnsi="Calibri"/>
                <w:b/>
                <w:bCs/>
                <w:i w:val="false"/>
                <w:iCs w:val="false"/>
                <w:color w:val="001141"/>
                <w:sz w:val="21"/>
                <w:szCs w:val="21"/>
              </w:rPr>
              <w:t xml:space="preserve">Triage</w:t>
            </w:r>
          </w:p>
          <w:p>
            <w:pPr>
              <w:spacing w:after="40" w:before="0"/>
              <w:jc w:val="center"/>
            </w:pPr>
            <w:r>
              <w:rPr>
                <w:rFonts w:ascii="Calibri" w:cs="Calibri" w:eastAsia="Calibri" w:hAnsi="Calibri"/>
                <w:b w:val="false"/>
                <w:bCs w:val="false"/>
                <w:i w:val="false"/>
                <w:iCs w:val="false"/>
                <w:color w:val="525252"/>
                <w:sz w:val="19"/>
                <w:szCs w:val="19"/>
              </w:rPr>
              <w:t xml:space="preserve">Impact scoring</w:t>
            </w:r>
          </w:p>
          <w:p>
            <w:pPr>
              <w:spacing w:after="40" w:before="0"/>
              <w:jc w:val="center"/>
            </w:pPr>
            <w:r>
              <w:rPr>
                <w:rFonts w:ascii="Calibri" w:cs="Calibri" w:eastAsia="Calibri" w:hAnsi="Calibri"/>
                <w:b w:val="false"/>
                <w:bCs w:val="false"/>
                <w:i w:val="false"/>
                <w:iCs w:val="false"/>
                <w:color w:val="525252"/>
                <w:sz w:val="19"/>
                <w:szCs w:val="19"/>
              </w:rPr>
              <w:t xml:space="preserve">Auto-prioritise</w:t>
            </w:r>
          </w:p>
          <w:p>
            <w:pPr>
              <w:spacing w:after="40" w:before="0"/>
              <w:jc w:val="center"/>
            </w:pPr>
            <w:r>
              <w:rPr>
                <w:rFonts w:ascii="Calibri" w:cs="Calibri" w:eastAsia="Calibri" w:hAnsi="Calibri"/>
                <w:b w:val="false"/>
                <w:bCs w:val="false"/>
                <w:i w:val="false"/>
                <w:iCs w:val="false"/>
                <w:color w:val="525252"/>
                <w:sz w:val="19"/>
                <w:szCs w:val="19"/>
              </w:rPr>
              <w:t xml:space="preserve">Route instantly</w:t>
            </w:r>
          </w:p>
          <w:p>
            <w:pPr>
              <w:spacing w:after="80" w:before="0"/>
            </w:pPr>
            <w:r>
              <w:rPr>
                <w:rFonts w:ascii="Calibri" w:cs="Calibri" w:eastAsia="Calibri" w:hAnsi="Calibri"/>
                <w:sz w:val="12"/>
                <w:szCs w:val="12"/>
              </w:rPr>
              <w:t xml:space="preserve"/>
            </w:r>
          </w:p>
        </w:tc>
        <w:tc>
          <w:tcPr>
            <w:tcW w:type="dxa" w:w="1872"/>
            <w:tcBorders>
              <w:top w:val="single" w:color="0043CE" w:sz="18"/>
              <w:left w:val="single" w:color="E0E0E0" w:sz="4"/>
              <w:bottom w:val="single" w:color="E0E0E0" w:sz="4"/>
              <w:right w:val="single" w:color="E0E0E0" w:sz="4"/>
            </w:tcBorders>
            <w:shd w:fill="FFFFFF" w:val="clear"/>
            <w:tcMar>
              <w:top w:type="dxa" w:w="80"/>
              <w:left w:type="dxa" w:w="120"/>
              <w:bottom w:type="dxa" w:w="80"/>
              <w:right w:type="dxa" w:w="120"/>
            </w:tcMar>
          </w:tcPr>
          <w:p>
            <w:pPr>
              <w:spacing w:after="40" w:before="120"/>
              <w:jc w:val="center"/>
            </w:pPr>
            <w:r>
              <w:rPr>
                <w:rFonts w:ascii="Calibri" w:cs="Calibri" w:eastAsia="Calibri" w:hAnsi="Calibri"/>
                <w:b/>
                <w:bCs/>
                <w:i w:val="false"/>
                <w:iCs w:val="false"/>
                <w:color w:val="0043CE"/>
                <w:sz w:val="15"/>
                <w:szCs w:val="15"/>
              </w:rPr>
              <w:t xml:space="preserve">STEP 3</w:t>
            </w:r>
          </w:p>
          <w:p>
            <w:pPr>
              <w:spacing w:after="80" w:before="0"/>
              <w:jc w:val="center"/>
            </w:pPr>
            <w:r>
              <w:rPr>
                <w:rFonts w:ascii="Calibri" w:cs="Calibri" w:eastAsia="Calibri" w:hAnsi="Calibri"/>
                <w:b/>
                <w:bCs/>
                <w:i w:val="false"/>
                <w:iCs w:val="false"/>
                <w:color w:val="001141"/>
                <w:sz w:val="21"/>
                <w:szCs w:val="21"/>
              </w:rPr>
              <w:t xml:space="preserve">Diagnose</w:t>
            </w:r>
          </w:p>
          <w:p>
            <w:pPr>
              <w:spacing w:after="40" w:before="0"/>
              <w:jc w:val="center"/>
            </w:pPr>
            <w:r>
              <w:rPr>
                <w:rFonts w:ascii="Calibri" w:cs="Calibri" w:eastAsia="Calibri" w:hAnsi="Calibri"/>
                <w:b w:val="false"/>
                <w:bCs w:val="false"/>
                <w:i w:val="false"/>
                <w:iCs w:val="false"/>
                <w:color w:val="525252"/>
                <w:sz w:val="19"/>
                <w:szCs w:val="19"/>
              </w:rPr>
              <w:t xml:space="preserve">Root cause
in minutes</w:t>
            </w:r>
          </w:p>
          <w:p>
            <w:pPr>
              <w:spacing w:after="40" w:before="0"/>
              <w:jc w:val="center"/>
            </w:pPr>
            <w:r>
              <w:rPr>
                <w:rFonts w:ascii="Calibri" w:cs="Calibri" w:eastAsia="Calibri" w:hAnsi="Calibri"/>
                <w:b w:val="false"/>
                <w:bCs w:val="false"/>
                <w:i w:val="false"/>
                <w:iCs w:val="false"/>
                <w:color w:val="525252"/>
                <w:sz w:val="19"/>
                <w:szCs w:val="19"/>
              </w:rPr>
              <w:t xml:space="preserve">Pattern matching</w:t>
            </w:r>
          </w:p>
          <w:p>
            <w:pPr>
              <w:spacing w:after="80" w:before="0"/>
            </w:pPr>
            <w:r>
              <w:rPr>
                <w:rFonts w:ascii="Calibri" w:cs="Calibri" w:eastAsia="Calibri" w:hAnsi="Calibri"/>
                <w:sz w:val="12"/>
                <w:szCs w:val="12"/>
              </w:rPr>
              <w:t xml:space="preserve"/>
            </w:r>
          </w:p>
        </w:tc>
        <w:tc>
          <w:tcPr>
            <w:tcW w:type="dxa" w:w="1872"/>
            <w:tcBorders>
              <w:top w:val="single" w:color="007D79" w:sz="18"/>
              <w:left w:val="single" w:color="E0E0E0" w:sz="4"/>
              <w:bottom w:val="single" w:color="E0E0E0" w:sz="4"/>
              <w:right w:val="single" w:color="E0E0E0" w:sz="4"/>
            </w:tcBorders>
            <w:shd w:fill="FFFFFF" w:val="clear"/>
            <w:tcMar>
              <w:top w:type="dxa" w:w="80"/>
              <w:left w:type="dxa" w:w="120"/>
              <w:bottom w:type="dxa" w:w="80"/>
              <w:right w:type="dxa" w:w="120"/>
            </w:tcMar>
          </w:tcPr>
          <w:p>
            <w:pPr>
              <w:spacing w:after="40" w:before="120"/>
              <w:jc w:val="center"/>
            </w:pPr>
            <w:r>
              <w:rPr>
                <w:rFonts w:ascii="Calibri" w:cs="Calibri" w:eastAsia="Calibri" w:hAnsi="Calibri"/>
                <w:b/>
                <w:bCs/>
                <w:i w:val="false"/>
                <w:iCs w:val="false"/>
                <w:color w:val="007D79"/>
                <w:sz w:val="15"/>
                <w:szCs w:val="15"/>
              </w:rPr>
              <w:t xml:space="preserve">STEP 4</w:t>
            </w:r>
          </w:p>
          <w:p>
            <w:pPr>
              <w:spacing w:after="80" w:before="0"/>
              <w:jc w:val="center"/>
            </w:pPr>
            <w:r>
              <w:rPr>
                <w:rFonts w:ascii="Calibri" w:cs="Calibri" w:eastAsia="Calibri" w:hAnsi="Calibri"/>
                <w:b/>
                <w:bCs/>
                <w:i w:val="false"/>
                <w:iCs w:val="false"/>
                <w:color w:val="001141"/>
                <w:sz w:val="21"/>
                <w:szCs w:val="21"/>
              </w:rPr>
              <w:t xml:space="preserve">Resolve</w:t>
            </w:r>
          </w:p>
          <w:p>
            <w:pPr>
              <w:spacing w:after="40" w:before="0"/>
              <w:jc w:val="center"/>
            </w:pPr>
            <w:r>
              <w:rPr>
                <w:rFonts w:ascii="Calibri" w:cs="Calibri" w:eastAsia="Calibri" w:hAnsi="Calibri"/>
                <w:b w:val="false"/>
                <w:bCs w:val="false"/>
                <w:i w:val="false"/>
                <w:iCs w:val="false"/>
                <w:color w:val="525252"/>
                <w:sz w:val="19"/>
                <w:szCs w:val="19"/>
              </w:rPr>
              <w:t xml:space="preserve">Self-heal P3/P4</w:t>
            </w:r>
          </w:p>
          <w:p>
            <w:pPr>
              <w:spacing w:after="40" w:before="0"/>
              <w:jc w:val="center"/>
            </w:pPr>
            <w:r>
              <w:rPr>
                <w:rFonts w:ascii="Calibri" w:cs="Calibri" w:eastAsia="Calibri" w:hAnsi="Calibri"/>
                <w:b w:val="false"/>
                <w:bCs w:val="false"/>
                <w:i w:val="false"/>
                <w:iCs w:val="false"/>
                <w:color w:val="525252"/>
                <w:sz w:val="19"/>
                <w:szCs w:val="19"/>
              </w:rPr>
              <w:t xml:space="preserve">Zero human touch</w:t>
            </w:r>
          </w:p>
          <w:p>
            <w:pPr>
              <w:spacing w:after="80" w:before="0"/>
            </w:pPr>
            <w:r>
              <w:rPr>
                <w:rFonts w:ascii="Calibri" w:cs="Calibri" w:eastAsia="Calibri" w:hAnsi="Calibri"/>
                <w:sz w:val="12"/>
                <w:szCs w:val="12"/>
              </w:rPr>
              <w:t xml:space="preserve"/>
            </w:r>
          </w:p>
        </w:tc>
        <w:tc>
          <w:tcPr>
            <w:tcW w:type="dxa" w:w="1872"/>
            <w:tcBorders>
              <w:top w:val="single" w:color="005D5D" w:sz="18"/>
              <w:left w:val="single" w:color="E0E0E0" w:sz="4"/>
              <w:bottom w:val="single" w:color="E0E0E0" w:sz="4"/>
              <w:right w:val="single" w:color="E0E0E0" w:sz="4"/>
            </w:tcBorders>
            <w:shd w:fill="FFFFFF" w:val="clear"/>
            <w:tcMar>
              <w:top w:type="dxa" w:w="80"/>
              <w:left w:type="dxa" w:w="120"/>
              <w:bottom w:type="dxa" w:w="80"/>
              <w:right w:type="dxa" w:w="120"/>
            </w:tcMar>
          </w:tcPr>
          <w:p>
            <w:pPr>
              <w:spacing w:after="40" w:before="120"/>
              <w:jc w:val="center"/>
            </w:pPr>
            <w:r>
              <w:rPr>
                <w:rFonts w:ascii="Calibri" w:cs="Calibri" w:eastAsia="Calibri" w:hAnsi="Calibri"/>
                <w:b/>
                <w:bCs/>
                <w:i w:val="false"/>
                <w:iCs w:val="false"/>
                <w:color w:val="005D5D"/>
                <w:sz w:val="15"/>
                <w:szCs w:val="15"/>
              </w:rPr>
              <w:t xml:space="preserve">STEP 5</w:t>
            </w:r>
          </w:p>
          <w:p>
            <w:pPr>
              <w:spacing w:after="80" w:before="0"/>
              <w:jc w:val="center"/>
            </w:pPr>
            <w:r>
              <w:rPr>
                <w:rFonts w:ascii="Calibri" w:cs="Calibri" w:eastAsia="Calibri" w:hAnsi="Calibri"/>
                <w:b/>
                <w:bCs/>
                <w:i w:val="false"/>
                <w:iCs w:val="false"/>
                <w:color w:val="001141"/>
                <w:sz w:val="21"/>
                <w:szCs w:val="21"/>
              </w:rPr>
              <w:t xml:space="preserve">Learn</w:t>
            </w:r>
          </w:p>
          <w:p>
            <w:pPr>
              <w:spacing w:after="40" w:before="0"/>
              <w:jc w:val="center"/>
            </w:pPr>
            <w:r>
              <w:rPr>
                <w:rFonts w:ascii="Calibri" w:cs="Calibri" w:eastAsia="Calibri" w:hAnsi="Calibri"/>
                <w:b w:val="false"/>
                <w:bCs w:val="false"/>
                <w:i w:val="false"/>
                <w:iCs w:val="false"/>
                <w:color w:val="525252"/>
                <w:sz w:val="19"/>
                <w:szCs w:val="19"/>
              </w:rPr>
              <w:t xml:space="preserve">Update runbooks</w:t>
            </w:r>
          </w:p>
          <w:p>
            <w:pPr>
              <w:spacing w:after="40" w:before="0"/>
              <w:jc w:val="center"/>
            </w:pPr>
            <w:r>
              <w:rPr>
                <w:rFonts w:ascii="Calibri" w:cs="Calibri" w:eastAsia="Calibri" w:hAnsi="Calibri"/>
                <w:b w:val="false"/>
                <w:bCs w:val="false"/>
                <w:i w:val="false"/>
                <w:iCs w:val="false"/>
                <w:color w:val="525252"/>
                <w:sz w:val="19"/>
                <w:szCs w:val="19"/>
              </w:rPr>
              <w:t xml:space="preserve">Prevent recurrence</w:t>
            </w:r>
          </w:p>
          <w:p>
            <w:pPr>
              <w:spacing w:after="80" w:before="0"/>
            </w:pPr>
            <w:r>
              <w:rPr>
                <w:rFonts w:ascii="Calibri" w:cs="Calibri" w:eastAsia="Calibri" w:hAnsi="Calibri"/>
                <w:sz w:val="12"/>
                <w:szCs w:val="12"/>
              </w:rPr>
              <w:t xml:space="preserve"/>
            </w:r>
          </w:p>
        </w:tc>
      </w:tr>
    </w:tbl>
    <w:p>
      <w:pPr>
        <w:spacing w:after="120" w:before="0"/>
      </w:pPr>
      <w:r>
        <w:rPr>
          <w:rFonts w:ascii="Calibri" w:cs="Calibri" w:eastAsia="Calibri" w:hAnsi="Calibri"/>
          <w:sz w:val="12"/>
          <w:szCs w:val="12"/>
        </w:rPr>
        <w:t xml:space="preserve"/>
      </w:r>
    </w:p>
    <w:p>
      <w:pPr>
        <w:spacing w:after="80" w:before="200"/>
      </w:pPr>
      <w:r>
        <w:rPr>
          <w:rFonts w:ascii="Calibri" w:cs="Calibri" w:eastAsia="Calibri" w:hAnsi="Calibri"/>
          <w:b/>
          <w:bCs/>
          <w:i w:val="false"/>
          <w:iCs w:val="false"/>
          <w:color w:val="001141"/>
          <w:sz w:val="24"/>
          <w:szCs w:val="24"/>
        </w:rPr>
        <w:t xml:space="preserve">Value Realization — AIOps</w:t>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tblGrid>
      <w:tr>
        <w:tc>
          <w:tcPr>
            <w:tcW w:type="dxa" w:w="3931"/>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Metric</w:t>
            </w:r>
          </w:p>
        </w:tc>
        <w:tc>
          <w:tcPr>
            <w:tcW w:type="dxa" w:w="2621"/>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With IBM AIOps</w:t>
            </w:r>
          </w:p>
        </w:tc>
        <w:tc>
          <w:tcPr>
            <w:tcW w:type="dxa" w:w="2808"/>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Est. Annual Value</w:t>
            </w:r>
          </w:p>
        </w:tc>
      </w:tr>
      <w:tr>
        <w:tc>
          <w:tcPr>
            <w:tcW w:type="dxa" w:w="3931"/>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MTTR (Mean Time to Resolve)</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&lt; 1.8 hours</w:t>
            </w:r>
          </w:p>
        </w:tc>
        <w:tc>
          <w:tcPr>
            <w:tcW w:type="dxa" w:w="280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$2.0M – $3.0M</w:t>
            </w:r>
          </w:p>
        </w:tc>
      </w:tr>
      <w:tr>
        <w:tc>
          <w:tcPr>
            <w:tcW w:type="dxa" w:w="3931"/>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Alert Noise per Shift</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&gt; 60% Reduced</w:t>
            </w:r>
          </w:p>
        </w:tc>
        <w:tc>
          <w:tcPr>
            <w:tcW w:type="dxa" w:w="280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$2.5M – $3.5M</w:t>
            </w:r>
          </w:p>
        </w:tc>
      </w:tr>
      <w:tr>
        <w:tc>
          <w:tcPr>
            <w:tcW w:type="dxa" w:w="3931"/>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P3/P4 Auto-Resolution</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&gt; 74%</w:t>
            </w:r>
          </w:p>
        </w:tc>
        <w:tc>
          <w:tcPr>
            <w:tcW w:type="dxa" w:w="280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$1.5M – $2.0M</w:t>
            </w:r>
          </w:p>
        </w:tc>
      </w:tr>
      <w:tr>
        <w:tc>
          <w:tcPr>
            <w:tcW w:type="dxa" w:w="3931"/>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Change Failure Rate</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40% Reduction</w:t>
            </w:r>
          </w:p>
        </w:tc>
        <w:tc>
          <w:tcPr>
            <w:tcW w:type="dxa" w:w="280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$0.8M – $1.2M</w:t>
            </w:r>
          </w:p>
        </w:tc>
      </w:tr>
      <w:tr>
        <w:tc>
          <w:tcPr>
            <w:tcW w:type="dxa" w:w="3931"/>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System Availability</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99.9%+</w:t>
            </w:r>
          </w:p>
        </w:tc>
        <w:tc>
          <w:tcPr>
            <w:tcW w:type="dxa" w:w="280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$1.0M – $1.3M</w:t>
            </w:r>
          </w:p>
        </w:tc>
      </w:tr>
      <w:tr>
        <w:tc>
          <w:tcPr>
            <w:tcW w:type="dxa" w:w="3931"/>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Ops Manual Triage Hours</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~30% Reduction</w:t>
            </w:r>
          </w:p>
        </w:tc>
        <w:tc>
          <w:tcPr>
            <w:tcW w:type="dxa" w:w="280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$1.3M – $1.5M</w:t>
            </w:r>
          </w:p>
        </w:tc>
      </w:tr>
    </w:tbl>
    <w:p>
      <w:pPr>
        <w:spacing w:after="160" w:before="0"/>
      </w:pPr>
      <w:r>
        <w:rPr>
          <w:rFonts w:ascii="Calibri" w:cs="Calibri" w:eastAsia="Calibri" w:hAnsi="Calibri"/>
          <w:sz w:val="12"/>
          <w:szCs w:val="12"/>
        </w:rPr>
        <w:t xml:space="preserve"/>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gridCol w:w="100"/>
      </w:tblGrid>
      <w:tr>
        <w:tc>
          <w:tcPr>
            <w:tcW w:type="dxa" w:w="2340"/>
            <w:tcBorders>
              <w:top w:val="single" w:color="0F62FE"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F62FE"/>
                <w:sz w:val="56"/>
                <w:szCs w:val="56"/>
              </w:rPr>
              <w:t xml:space="preserve">&gt;74%</w:t>
            </w:r>
          </w:p>
          <w:p>
            <w:pPr>
              <w:spacing w:after="160" w:before="0"/>
              <w:jc w:val="center"/>
            </w:pPr>
            <w:r>
              <w:rPr>
                <w:rFonts w:ascii="Calibri" w:cs="Calibri" w:eastAsia="Calibri" w:hAnsi="Calibri"/>
                <w:b/>
                <w:bCs/>
                <w:i w:val="false"/>
                <w:iCs w:val="false"/>
                <w:color w:val="001141"/>
                <w:sz w:val="19"/>
                <w:szCs w:val="19"/>
              </w:rPr>
              <w:t xml:space="preserve">P3/P4 Auto-Resolved</w:t>
            </w:r>
          </w:p>
        </w:tc>
        <w:tc>
          <w:tcPr>
            <w:tcW w:type="dxa" w:w="2340"/>
            <w:tcBorders>
              <w:top w:val="single" w:color="007D79"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07D79"/>
                <w:sz w:val="56"/>
                <w:szCs w:val="56"/>
              </w:rPr>
              <w:t xml:space="preserve">&gt;60%</w:t>
            </w:r>
          </w:p>
          <w:p>
            <w:pPr>
              <w:spacing w:after="160" w:before="0"/>
              <w:jc w:val="center"/>
            </w:pPr>
            <w:r>
              <w:rPr>
                <w:rFonts w:ascii="Calibri" w:cs="Calibri" w:eastAsia="Calibri" w:hAnsi="Calibri"/>
                <w:b/>
                <w:bCs/>
                <w:i w:val="false"/>
                <w:iCs w:val="false"/>
                <w:color w:val="001141"/>
                <w:sz w:val="19"/>
                <w:szCs w:val="19"/>
              </w:rPr>
              <w:t xml:space="preserve">Alert Noise Reduced</w:t>
            </w:r>
          </w:p>
        </w:tc>
        <w:tc>
          <w:tcPr>
            <w:tcW w:type="dxa" w:w="2340"/>
            <w:tcBorders>
              <w:top w:val="single" w:color="0043CE"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043CE"/>
                <w:sz w:val="56"/>
                <w:szCs w:val="56"/>
              </w:rPr>
              <w:t xml:space="preserve">99.9%+</w:t>
            </w:r>
          </w:p>
          <w:p>
            <w:pPr>
              <w:spacing w:after="160" w:before="0"/>
              <w:jc w:val="center"/>
            </w:pPr>
            <w:r>
              <w:rPr>
                <w:rFonts w:ascii="Calibri" w:cs="Calibri" w:eastAsia="Calibri" w:hAnsi="Calibri"/>
                <w:b/>
                <w:bCs/>
                <w:i w:val="false"/>
                <w:iCs w:val="false"/>
                <w:color w:val="001141"/>
                <w:sz w:val="19"/>
                <w:szCs w:val="19"/>
              </w:rPr>
              <w:t xml:space="preserve">System Availability</w:t>
            </w:r>
          </w:p>
        </w:tc>
        <w:tc>
          <w:tcPr>
            <w:tcW w:type="dxa" w:w="2340"/>
            <w:tcBorders>
              <w:top w:val="single" w:color="6929C4"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6929C4"/>
                <w:sz w:val="56"/>
                <w:szCs w:val="56"/>
              </w:rPr>
              <w:t xml:space="preserve">&lt;1.8 hrs</w:t>
            </w:r>
          </w:p>
          <w:p>
            <w:pPr>
              <w:spacing w:after="160" w:before="0"/>
              <w:jc w:val="center"/>
            </w:pPr>
            <w:r>
              <w:rPr>
                <w:rFonts w:ascii="Calibri" w:cs="Calibri" w:eastAsia="Calibri" w:hAnsi="Calibri"/>
                <w:b/>
                <w:bCs/>
                <w:i w:val="false"/>
                <w:iCs w:val="false"/>
                <w:color w:val="001141"/>
                <w:sz w:val="19"/>
                <w:szCs w:val="19"/>
              </w:rPr>
              <w:t xml:space="preserve">Mean Time to Resolve</w:t>
            </w:r>
          </w:p>
        </w:tc>
      </w:tr>
    </w:tbl>
    <w:p>
      <w:pPr>
        <w:pageBreakBefore/>
        <w:pBdr>
          <w:top w:val="single" w:color="0F62FE" w:sz="20" w:space="10"/>
        </w:pBdr>
        <w:spacing w:after="80" w:before="0"/>
      </w:pPr>
    </w:p>
    <w:p>
      <w:pPr>
        <w:spacing w:after="60" w:before="0"/>
      </w:pPr>
      <w:r>
        <w:rPr>
          <w:rFonts w:ascii="Calibri" w:cs="Calibri" w:eastAsia="Calibri" w:hAnsi="Calibri"/>
          <w:b/>
          <w:bCs/>
          <w:i w:val="false"/>
          <w:iCs w:val="false"/>
          <w:color w:val="0F62FE"/>
          <w:sz w:val="19"/>
          <w:szCs w:val="19"/>
        </w:rPr>
        <w:t xml:space="preserve">05  </w:t>
      </w:r>
      <w:r>
        <w:rPr>
          <w:rFonts w:ascii="Calibri" w:cs="Calibri" w:eastAsia="Calibri" w:hAnsi="Calibri"/>
          <w:b/>
          <w:bCs/>
          <w:i w:val="false"/>
          <w:iCs w:val="false"/>
          <w:color w:val="001141"/>
          <w:sz w:val="36"/>
          <w:szCs w:val="36"/>
        </w:rPr>
        <w:t xml:space="preserve">Quality Engineering</w:t>
      </w:r>
    </w:p>
    <w:p>
      <w:pPr>
        <w:spacing w:after="160" w:before="0"/>
      </w:pPr>
      <w:r>
        <w:rPr>
          <w:rFonts w:ascii="Calibri" w:cs="Calibri" w:eastAsia="Calibri" w:hAnsi="Calibri"/>
          <w:b w:val="false"/>
          <w:bCs w:val="false"/>
          <w:i/>
          <w:iCs/>
          <w:color w:val="8D8D8D"/>
          <w:sz w:val="20"/>
          <w:szCs w:val="20"/>
        </w:rPr>
        <w:t xml:space="preserve">Measurable Quality at Every Milestone — Improved with Every Release</w:t>
      </w:r>
    </w:p>
    <w:p>
      <w:pPr>
        <w:spacing w:after="80" w:before="0"/>
      </w:pPr>
      <w:r>
        <w:rPr>
          <w:rFonts w:ascii="Calibri" w:cs="Calibri" w:eastAsia="Calibri" w:hAnsi="Calibri"/>
          <w:sz w:val="12"/>
          <w:szCs w:val="12"/>
        </w:rPr>
        <w:t xml:space="preserve"/>
      </w:r>
    </w:p>
    <w:p>
      <w:pPr>
        <w:pBdr>
          <w:left w:val="single" w:color="0F62FE" w:sz="20" w:space="12"/>
        </w:pBdr>
        <w:spacing w:after="40" w:before="60"/>
        <w:ind w:left="576"/>
      </w:pPr>
      <w:r>
        <w:rPr>
          <w:rFonts w:ascii="Calibri" w:cs="Calibri" w:eastAsia="Calibri" w:hAnsi="Calibri"/>
          <w:b w:val="false"/>
          <w:bCs w:val="false"/>
          <w:i/>
          <w:iCs/>
          <w:color w:val="001141"/>
          <w:sz w:val="23"/>
          <w:szCs w:val="23"/>
        </w:rPr>
        <w:t xml:space="preserve">“Every undetected defect in a claims system is a patient who doesn’t get the care they need on time. Every missed test case is a provider who submits correctly and gets denied anyway. Quality is not a phase of delivery. Quality is the promise.”</w:t>
      </w:r>
    </w:p>
    <w:p>
      <w:pPr>
        <w:spacing w:after="120" w:before="0"/>
        <w:jc w:val="right"/>
      </w:pPr>
      <w:r>
        <w:rPr>
          <w:rFonts w:ascii="Calibri" w:cs="Calibri" w:eastAsia="Calibri" w:hAnsi="Calibri"/>
          <w:b/>
          <w:bCs/>
          <w:i w:val="false"/>
          <w:iCs w:val="false"/>
          <w:color w:val="0F62FE"/>
          <w:sz w:val="18"/>
          <w:szCs w:val="18"/>
        </w:rPr>
        <w:t xml:space="preserve">— IBM Quality Engineering</w:t>
      </w:r>
    </w:p>
    <w:p>
      <w:pPr>
        <w:spacing w:after="80" w:before="200"/>
      </w:pPr>
      <w:r>
        <w:rPr>
          <w:rFonts w:ascii="Calibri" w:cs="Calibri" w:eastAsia="Calibri" w:hAnsi="Calibri"/>
          <w:b/>
          <w:bCs/>
          <w:i w:val="false"/>
          <w:iCs w:val="false"/>
          <w:color w:val="001141"/>
          <w:sz w:val="24"/>
          <w:szCs w:val="24"/>
        </w:rPr>
        <w:t xml:space="preserve">Self-Improving Quality Framework</w:t>
      </w:r>
    </w:p>
    <w:p>
      <w:pPr>
        <w:spacing w:after="100" w:before="0"/>
      </w:pPr>
      <w:r>
        <w:rPr>
          <w:rFonts w:ascii="Calibri" w:cs="Calibri" w:eastAsia="Calibri" w:hAnsi="Calibri"/>
          <w:b w:val="false"/>
          <w:bCs w:val="false"/>
          <w:i w:val="false"/>
          <w:iCs w:val="false"/>
          <w:color w:val="525252"/>
          <w:sz w:val="21"/>
          <w:szCs w:val="21"/>
        </w:rPr>
        <w:t xml:space="preserve">IBM’s Quality Engineering model embeds measurable validation checkpoints across every stage of development and production — creating a closed-loop feedback system within the CI/CD pipeline. Production insights, defect analytics, and automation metrics continuously refine testing strategies, enabling sustained defect reduction, faster recovery, and progressive quality improvement over time.</w:t>
      </w:r>
    </w:p>
    <w:p>
      <w:pPr>
        <w:spacing w:after="100" w:before="0"/>
      </w:pPr>
      <w:r>
        <w:rPr>
          <w:rFonts w:ascii="Calibri" w:cs="Calibri" w:eastAsia="Calibri" w:hAnsi="Calibri"/>
          <w:b w:val="false"/>
          <w:bCs w:val="false"/>
          <w:i w:val="false"/>
          <w:iCs w:val="false"/>
          <w:color w:val="525252"/>
          <w:sz w:val="21"/>
          <w:szCs w:val="21"/>
        </w:rPr>
        <w:t xml:space="preserve">This is not a testing team. This is a quality engine. It learns from every defect, tightens the net with every release, and ensures that the quality of Horizon’s ~1,000 applications improves continuously — without manual test plan authoring or regression suite maintenance.</w:t>
      </w:r>
    </w:p>
    <w:p>
      <w:pPr>
        <w:spacing w:after="80" w:before="200"/>
      </w:pPr>
      <w:r>
        <w:rPr>
          <w:rFonts w:ascii="Calibri" w:cs="Calibri" w:eastAsia="Calibri" w:hAnsi="Calibri"/>
          <w:b/>
          <w:bCs/>
          <w:i w:val="false"/>
          <w:iCs w:val="false"/>
          <w:color w:val="001141"/>
          <w:sz w:val="24"/>
          <w:szCs w:val="24"/>
        </w:rPr>
        <w:t xml:space="preserve">Quality Controls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End-to-end traceability from requirement to deployed feature — full release readiness visibility at every gate.</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Defect leakage, density, and stability metrics (MTTR) tracked per domain and per application.</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Automation coverage with KPI-driven governance — every sprint measured against coverage targets.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AI-driven defect insights and regression optimization — models trained on Horizon’s own incident history.</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Production telemetry feeding back into test strategy — every production incident teaches the quality engine.</w:t>
      </w:r>
    </w:p>
    <w:p>
      <w:pPr>
        <w:spacing w:after="80" w:before="200"/>
      </w:pPr>
      <w:r>
        <w:rPr>
          <w:rFonts w:ascii="Calibri" w:cs="Calibri" w:eastAsia="Calibri" w:hAnsi="Calibri"/>
          <w:b/>
          <w:bCs/>
          <w:i w:val="false"/>
          <w:iCs w:val="false"/>
          <w:color w:val="001141"/>
          <w:sz w:val="24"/>
          <w:szCs w:val="24"/>
        </w:rPr>
        <w:t xml:space="preserve">Intelligent Test Automation</w:t>
      </w:r>
    </w:p>
    <w:p>
      <w:pPr>
        <w:spacing w:after="100" w:before="0"/>
      </w:pPr>
      <w:r>
        <w:rPr>
          <w:rFonts w:ascii="Calibri" w:cs="Calibri" w:eastAsia="Calibri" w:hAnsi="Calibri"/>
          <w:b w:val="false"/>
          <w:bCs w:val="false"/>
          <w:i w:val="false"/>
          <w:iCs w:val="false"/>
          <w:color w:val="525252"/>
          <w:sz w:val="21"/>
          <w:szCs w:val="21"/>
        </w:rPr>
        <w:t xml:space="preserve">IBM’s Generative AI capabilities enable self-generating test cases, automated test maintenance, and continuous validation integration — dramatically reducing the cost and time associated with regression testing across Horizon’s complex, multi-system portfolio. AI synthesises regression, integration, and edge-case tests directly from the code change — at commit speed.</w:t>
      </w:r>
    </w:p>
    <w:p>
      <w:pPr>
        <w:spacing w:after="80" w:before="200"/>
      </w:pPr>
      <w:r>
        <w:rPr>
          <w:rFonts w:ascii="Calibri" w:cs="Calibri" w:eastAsia="Calibri" w:hAnsi="Calibri"/>
          <w:b/>
          <w:bCs/>
          <w:i w:val="false"/>
          <w:iCs w:val="false"/>
          <w:color w:val="001141"/>
          <w:sz w:val="24"/>
          <w:szCs w:val="24"/>
        </w:rPr>
        <w:t xml:space="preserve">AI-Powered Quality Capabilities</w:t>
      </w:r>
    </w:p>
    <w:p>
      <w:pPr>
        <w:spacing w:after="40" w:before="120"/>
      </w:pPr>
      <w:r>
        <w:rPr>
          <w:rFonts w:ascii="Calibri" w:cs="Calibri" w:eastAsia="Calibri" w:hAnsi="Calibri"/>
          <w:b/>
          <w:bCs/>
          <w:i w:val="false"/>
          <w:iCs w:val="false"/>
          <w:color w:val="0F62FE"/>
          <w:sz w:val="21"/>
          <w:szCs w:val="21"/>
        </w:rPr>
        <w:t xml:space="preserve">GenAI Test Generation</w:t>
      </w:r>
    </w:p>
    <w:p>
      <w:pPr>
        <w:spacing w:after="100" w:before="0"/>
      </w:pPr>
      <w:r>
        <w:rPr>
          <w:rFonts w:ascii="Calibri" w:cs="Calibri" w:eastAsia="Calibri" w:hAnsi="Calibri"/>
          <w:b w:val="false"/>
          <w:bCs w:val="false"/>
          <w:i w:val="false"/>
          <w:iCs w:val="false"/>
          <w:color w:val="525252"/>
          <w:sz w:val="21"/>
          <w:szCs w:val="21"/>
        </w:rPr>
        <w:t xml:space="preserve">AI generates test cases from code changes automatically. Coverage grows without manual test-plan authoring. New features ship with tests from Day 1.</w:t>
      </w:r>
    </w:p>
    <w:p>
      <w:pPr>
        <w:spacing w:after="40" w:before="120"/>
      </w:pPr>
      <w:r>
        <w:rPr>
          <w:rFonts w:ascii="Calibri" w:cs="Calibri" w:eastAsia="Calibri" w:hAnsi="Calibri"/>
          <w:b/>
          <w:bCs/>
          <w:i w:val="false"/>
          <w:iCs w:val="false"/>
          <w:color w:val="0F62FE"/>
          <w:sz w:val="21"/>
          <w:szCs w:val="21"/>
        </w:rPr>
        <w:t xml:space="preserve">Defect Prediction AI</w:t>
      </w:r>
    </w:p>
    <w:p>
      <w:pPr>
        <w:spacing w:after="100" w:before="0"/>
      </w:pPr>
      <w:r>
        <w:rPr>
          <w:rFonts w:ascii="Calibri" w:cs="Calibri" w:eastAsia="Calibri" w:hAnsi="Calibri"/>
          <w:b w:val="false"/>
          <w:bCs w:val="false"/>
          <w:i w:val="false"/>
          <w:iCs w:val="false"/>
          <w:color w:val="525252"/>
          <w:sz w:val="21"/>
          <w:szCs w:val="21"/>
        </w:rPr>
        <w:t xml:space="preserve">Models trained on Horizon’s own incident history identify high-risk code paths before they reach UAT — catching defects where they are cheapest to fix.</w:t>
      </w:r>
    </w:p>
    <w:p>
      <w:pPr>
        <w:spacing w:after="40" w:before="120"/>
      </w:pPr>
      <w:r>
        <w:rPr>
          <w:rFonts w:ascii="Calibri" w:cs="Calibri" w:eastAsia="Calibri" w:hAnsi="Calibri"/>
          <w:b/>
          <w:bCs/>
          <w:i w:val="false"/>
          <w:iCs w:val="false"/>
          <w:color w:val="0F62FE"/>
          <w:sz w:val="21"/>
          <w:szCs w:val="21"/>
        </w:rPr>
        <w:t xml:space="preserve">Production Feedback Loop</w:t>
      </w:r>
    </w:p>
    <w:p>
      <w:pPr>
        <w:spacing w:after="100" w:before="0"/>
      </w:pPr>
      <w:r>
        <w:rPr>
          <w:rFonts w:ascii="Calibri" w:cs="Calibri" w:eastAsia="Calibri" w:hAnsi="Calibri"/>
          <w:b w:val="false"/>
          <w:bCs w:val="false"/>
          <w:i w:val="false"/>
          <w:iCs w:val="false"/>
          <w:color w:val="525252"/>
          <w:sz w:val="21"/>
          <w:szCs w:val="21"/>
        </w:rPr>
        <w:t xml:space="preserve">Every production defect teaches the quality engine. Each release cycle the test suite tightens automatically — an ever-improving net that strengthens without manual intervention.</w:t>
      </w:r>
    </w:p>
    <w:p>
      <w:pPr>
        <w:spacing w:after="80" w:before="0"/>
      </w:pPr>
      <w:r>
        <w:rPr>
          <w:rFonts w:ascii="Calibri" w:cs="Calibri" w:eastAsia="Calibri" w:hAnsi="Calibri"/>
          <w:sz w:val="12"/>
          <w:szCs w:val="12"/>
        </w:rPr>
        <w:t xml:space="preserve"/>
      </w:r>
    </w:p>
    <w:p>
      <w:pPr>
        <w:shd w:fill="EBF2FF" w:val="clear"/>
        <w:spacing w:after="120" w:before="120"/>
        <w:ind w:left="360" w:right="360"/>
      </w:pPr>
      <w:r>
        <w:rPr>
          <w:rFonts w:ascii="Calibri" w:cs="Calibri" w:eastAsia="Calibri" w:hAnsi="Calibri"/>
          <w:b/>
          <w:bCs/>
          <w:i w:val="false"/>
          <w:iCs w:val="false"/>
          <w:color w:val="001141"/>
          <w:sz w:val="21"/>
          <w:szCs w:val="21"/>
        </w:rPr>
        <w:t xml:space="preserve">Target: 80% test automation coverage across Horizon’s ~1,000-application portfolio within 12 months of full deployment.</w:t>
      </w:r>
    </w:p>
    <w:p>
      <w:pPr>
        <w:spacing w:after="120" w:before="0"/>
      </w:pPr>
      <w:r>
        <w:rPr>
          <w:rFonts w:ascii="Calibri" w:cs="Calibri" w:eastAsia="Calibri" w:hAnsi="Calibri"/>
          <w:sz w:val="12"/>
          <w:szCs w:val="12"/>
        </w:rPr>
        <w:t xml:space="preserve"/>
      </w:r>
    </w:p>
    <w:p>
      <w:pPr>
        <w:spacing w:after="80" w:before="200"/>
      </w:pPr>
      <w:r>
        <w:rPr>
          <w:rFonts w:ascii="Calibri" w:cs="Calibri" w:eastAsia="Calibri" w:hAnsi="Calibri"/>
          <w:b/>
          <w:bCs/>
          <w:i w:val="false"/>
          <w:iCs w:val="false"/>
          <w:color w:val="001141"/>
          <w:sz w:val="24"/>
          <w:szCs w:val="24"/>
        </w:rPr>
        <w:t xml:space="preserve">Quality Metrics — Before &amp; After</w:t>
      </w:r>
    </w:p>
    <w:p>
      <w:pPr>
        <w:spacing w:after="120" w:before="0"/>
      </w:pPr>
      <w:r>
        <w:rPr>
          <w:rFonts w:ascii="Calibri" w:cs="Calibri" w:eastAsia="Calibri" w:hAnsi="Calibri"/>
          <w:b w:val="false"/>
          <w:bCs w:val="false"/>
          <w:i/>
          <w:iCs/>
          <w:color w:val="8D8D8D"/>
          <w:sz w:val="19"/>
          <w:szCs w:val="19"/>
        </w:rPr>
        <w:t xml:space="preserve">IBM Quality Engineering targets across Horizon’s AMS portfolio — current state vs. 6- and 12-month programme milestones:</w:t>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gridCol w:w="100"/>
        <w:gridCol w:w="100"/>
      </w:tblGrid>
      <w:tr>
        <w:tc>
          <w:tcPr>
            <w:tcW w:type="dxa" w:w="2621"/>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Quality Metric</w:t>
            </w:r>
          </w:p>
        </w:tc>
        <w:tc>
          <w:tcPr>
            <w:tcW w:type="dxa" w:w="1685"/>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Current State</w:t>
            </w:r>
          </w:p>
        </w:tc>
        <w:tc>
          <w:tcPr>
            <w:tcW w:type="dxa" w:w="1498"/>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6-Month Target</w:t>
            </w:r>
          </w:p>
        </w:tc>
        <w:tc>
          <w:tcPr>
            <w:tcW w:type="dxa" w:w="1498"/>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12-Month Target</w:t>
            </w:r>
          </w:p>
        </w:tc>
        <w:tc>
          <w:tcPr>
            <w:tcW w:type="dxa" w:w="2059"/>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Method</w:t>
            </w:r>
          </w:p>
        </w:tc>
      </w:tr>
      <w:tr>
        <w:tc>
          <w:tcPr>
            <w:tcW w:type="dxa" w:w="2621"/>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Test Automation Coverage</w:t>
            </w:r>
          </w:p>
        </w:tc>
        <w:tc>
          <w:tcPr>
            <w:tcW w:type="dxa" w:w="1685"/>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19"/>
                <w:szCs w:val="19"/>
              </w:rPr>
              <w:t xml:space="preserve">~25%</w:t>
            </w:r>
          </w:p>
        </w:tc>
        <w:tc>
          <w:tcPr>
            <w:tcW w:type="dxa" w:w="1498"/>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0043CE"/>
                <w:sz w:val="19"/>
                <w:szCs w:val="19"/>
              </w:rPr>
              <w:t xml:space="preserve">55%</w:t>
            </w:r>
          </w:p>
        </w:tc>
        <w:tc>
          <w:tcPr>
            <w:tcW w:type="dxa" w:w="149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19"/>
                <w:szCs w:val="19"/>
              </w:rPr>
              <w:t xml:space="preserve">80%+</w:t>
            </w:r>
          </w:p>
        </w:tc>
        <w:tc>
          <w:tcPr>
            <w:tcW w:type="dxa" w:w="2059"/>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18"/>
                <w:szCs w:val="18"/>
              </w:rPr>
              <w:t xml:space="preserve">GenAI self-generating tests</w:t>
            </w:r>
          </w:p>
        </w:tc>
      </w:tr>
      <w:tr>
        <w:tc>
          <w:tcPr>
            <w:tcW w:type="dxa" w:w="2621"/>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Defect Escape</w:t>
            </w:r>
          </w:p>
        </w:tc>
        <w:tc>
          <w:tcPr>
            <w:tcW w:type="dxa" w:w="1685"/>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19"/>
                <w:szCs w:val="19"/>
              </w:rPr>
              <w:t xml:space="preserve">High / tracked manually</w:t>
            </w:r>
          </w:p>
        </w:tc>
        <w:tc>
          <w:tcPr>
            <w:tcW w:type="dxa" w:w="1498"/>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0043CE"/>
                <w:sz w:val="19"/>
                <w:szCs w:val="19"/>
              </w:rPr>
              <w:t xml:space="preserve">40% reduction</w:t>
            </w:r>
          </w:p>
        </w:tc>
        <w:tc>
          <w:tcPr>
            <w:tcW w:type="dxa" w:w="149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19"/>
                <w:szCs w:val="19"/>
              </w:rPr>
              <w:t xml:space="preserve">65% reduction</w:t>
            </w:r>
          </w:p>
        </w:tc>
        <w:tc>
          <w:tcPr>
            <w:tcW w:type="dxa" w:w="2059"/>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18"/>
                <w:szCs w:val="18"/>
              </w:rPr>
              <w:t xml:space="preserve">AI defect prediction</w:t>
            </w:r>
          </w:p>
        </w:tc>
      </w:tr>
      <w:tr>
        <w:tc>
          <w:tcPr>
            <w:tcW w:type="dxa" w:w="2621"/>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Regression Cycle Time</w:t>
            </w:r>
          </w:p>
        </w:tc>
        <w:tc>
          <w:tcPr>
            <w:tcW w:type="dxa" w:w="1685"/>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19"/>
                <w:szCs w:val="19"/>
              </w:rPr>
              <w:t xml:space="preserve">Multi-day manual</w:t>
            </w:r>
          </w:p>
        </w:tc>
        <w:tc>
          <w:tcPr>
            <w:tcW w:type="dxa" w:w="1498"/>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0043CE"/>
                <w:sz w:val="19"/>
                <w:szCs w:val="19"/>
              </w:rPr>
              <w:t xml:space="preserve">50% faster</w:t>
            </w:r>
          </w:p>
        </w:tc>
        <w:tc>
          <w:tcPr>
            <w:tcW w:type="dxa" w:w="149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19"/>
                <w:szCs w:val="19"/>
              </w:rPr>
              <w:t xml:space="preserve">70% faster</w:t>
            </w:r>
          </w:p>
        </w:tc>
        <w:tc>
          <w:tcPr>
            <w:tcW w:type="dxa" w:w="2059"/>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18"/>
                <w:szCs w:val="18"/>
              </w:rPr>
              <w:t xml:space="preserve">Intelligent test selection</w:t>
            </w:r>
          </w:p>
        </w:tc>
      </w:tr>
      <w:tr>
        <w:tc>
          <w:tcPr>
            <w:tcW w:type="dxa" w:w="2621"/>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Mean Time to Detect</w:t>
            </w:r>
          </w:p>
        </w:tc>
        <w:tc>
          <w:tcPr>
            <w:tcW w:type="dxa" w:w="1685"/>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19"/>
                <w:szCs w:val="19"/>
              </w:rPr>
              <w:t xml:space="preserve">&gt; 2 hours</w:t>
            </w:r>
          </w:p>
        </w:tc>
        <w:tc>
          <w:tcPr>
            <w:tcW w:type="dxa" w:w="1498"/>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0043CE"/>
                <w:sz w:val="19"/>
                <w:szCs w:val="19"/>
              </w:rPr>
              <w:t xml:space="preserve">&lt; 30 min</w:t>
            </w:r>
          </w:p>
        </w:tc>
        <w:tc>
          <w:tcPr>
            <w:tcW w:type="dxa" w:w="149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19"/>
                <w:szCs w:val="19"/>
              </w:rPr>
              <w:t xml:space="preserve">&lt; 15 min</w:t>
            </w:r>
          </w:p>
        </w:tc>
        <w:tc>
          <w:tcPr>
            <w:tcW w:type="dxa" w:w="2059"/>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18"/>
                <w:szCs w:val="18"/>
              </w:rPr>
              <w:t xml:space="preserve">AIOps + telemetry feedback</w:t>
            </w:r>
          </w:p>
        </w:tc>
      </w:tr>
      <w:tr>
        <w:tc>
          <w:tcPr>
            <w:tcW w:type="dxa" w:w="2621"/>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AI-Generated Test Cases</w:t>
            </w:r>
          </w:p>
        </w:tc>
        <w:tc>
          <w:tcPr>
            <w:tcW w:type="dxa" w:w="1685"/>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19"/>
                <w:szCs w:val="19"/>
              </w:rPr>
              <w:t xml:space="preserve">&lt; 5%</w:t>
            </w:r>
          </w:p>
        </w:tc>
        <w:tc>
          <w:tcPr>
            <w:tcW w:type="dxa" w:w="1498"/>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0043CE"/>
                <w:sz w:val="19"/>
                <w:szCs w:val="19"/>
              </w:rPr>
              <w:t xml:space="preserve">40%+</w:t>
            </w:r>
          </w:p>
        </w:tc>
        <w:tc>
          <w:tcPr>
            <w:tcW w:type="dxa" w:w="149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19"/>
                <w:szCs w:val="19"/>
              </w:rPr>
              <w:t xml:space="preserve">&gt; 70%</w:t>
            </w:r>
          </w:p>
        </w:tc>
        <w:tc>
          <w:tcPr>
            <w:tcW w:type="dxa" w:w="2059"/>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18"/>
                <w:szCs w:val="18"/>
              </w:rPr>
              <w:t xml:space="preserve">IBM Consulting Advantage</w:t>
            </w:r>
          </w:p>
        </w:tc>
      </w:tr>
      <w:tr>
        <w:tc>
          <w:tcPr>
            <w:tcW w:type="dxa" w:w="2621"/>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Production Incident Rate</w:t>
            </w:r>
          </w:p>
        </w:tc>
        <w:tc>
          <w:tcPr>
            <w:tcW w:type="dxa" w:w="1685"/>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19"/>
                <w:szCs w:val="19"/>
              </w:rPr>
              <w:t xml:space="preserve">Baseline</w:t>
            </w:r>
          </w:p>
        </w:tc>
        <w:tc>
          <w:tcPr>
            <w:tcW w:type="dxa" w:w="1498"/>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0043CE"/>
                <w:sz w:val="19"/>
                <w:szCs w:val="19"/>
              </w:rPr>
              <w:t xml:space="preserve">20% reduction</w:t>
            </w:r>
          </w:p>
        </w:tc>
        <w:tc>
          <w:tcPr>
            <w:tcW w:type="dxa" w:w="149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19"/>
                <w:szCs w:val="19"/>
              </w:rPr>
              <w:t xml:space="preserve">40% reduction</w:t>
            </w:r>
          </w:p>
        </w:tc>
        <w:tc>
          <w:tcPr>
            <w:tcW w:type="dxa" w:w="2059"/>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18"/>
                <w:szCs w:val="18"/>
              </w:rPr>
              <w:t xml:space="preserve">Shift-left quality gates</w:t>
            </w:r>
          </w:p>
        </w:tc>
      </w:tr>
      <w:tr>
        <w:tc>
          <w:tcPr>
            <w:tcW w:type="dxa" w:w="2621"/>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Critical Defect Leakage</w:t>
            </w:r>
          </w:p>
        </w:tc>
        <w:tc>
          <w:tcPr>
            <w:tcW w:type="dxa" w:w="1685"/>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DA1E28"/>
                <w:sz w:val="19"/>
                <w:szCs w:val="19"/>
              </w:rPr>
              <w:t xml:space="preserve">Measured quarterly</w:t>
            </w:r>
          </w:p>
        </w:tc>
        <w:tc>
          <w:tcPr>
            <w:tcW w:type="dxa" w:w="1498"/>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0043CE"/>
                <w:sz w:val="19"/>
                <w:szCs w:val="19"/>
              </w:rPr>
              <w:t xml:space="preserve">Monthly SLA</w:t>
            </w:r>
          </w:p>
        </w:tc>
        <w:tc>
          <w:tcPr>
            <w:tcW w:type="dxa" w:w="149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19"/>
                <w:szCs w:val="19"/>
              </w:rPr>
              <w:t xml:space="preserve">Zero-leakage SLA</w:t>
            </w:r>
          </w:p>
        </w:tc>
        <w:tc>
          <w:tcPr>
            <w:tcW w:type="dxa" w:w="2059"/>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18"/>
                <w:szCs w:val="18"/>
              </w:rPr>
              <w:t xml:space="preserve">End-to-end traceability</w:t>
            </w:r>
          </w:p>
        </w:tc>
      </w:tr>
    </w:tbl>
    <w:p>
      <w:pPr>
        <w:spacing w:after="120" w:before="0"/>
      </w:pPr>
      <w:r>
        <w:rPr>
          <w:rFonts w:ascii="Calibri" w:cs="Calibri" w:eastAsia="Calibri" w:hAnsi="Calibri"/>
          <w:sz w:val="12"/>
          <w:szCs w:val="12"/>
        </w:rPr>
        <w:t xml:space="preserve"/>
      </w:r>
    </w:p>
    <w:p>
      <w:pPr>
        <w:spacing w:after="80" w:before="200"/>
      </w:pPr>
      <w:r>
        <w:rPr>
          <w:rFonts w:ascii="Calibri" w:cs="Calibri" w:eastAsia="Calibri" w:hAnsi="Calibri"/>
          <w:b/>
          <w:bCs/>
          <w:i w:val="false"/>
          <w:iCs w:val="false"/>
          <w:color w:val="001141"/>
          <w:sz w:val="24"/>
          <w:szCs w:val="24"/>
        </w:rPr>
        <w:t xml:space="preserve">Test Automation Coverage Journey</w:t>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gridCol w:w="100"/>
      </w:tblGrid>
      <w:tr>
        <w:tc>
          <w:tcPr>
            <w:tcW w:type="dxa" w:w="2800"/>
            <w:tcBorders>
              <w:top w:val="none" w:color="auto" w:sz="0"/>
              <w:left w:val="none" w:color="auto" w:sz="0"/>
              <w:bottom w:val="none" w:color="auto" w:sz="0"/>
              <w:right w:val="none" w:color="auto" w:sz="0"/>
            </w:tcBorders>
            <w:shd w:fill="FFFFFF" w:val="clear"/>
            <w:tcMar>
              <w:top w:type="dxa" w:w="60"/>
              <w:bottom w:type="dxa" w:w="60"/>
              <w:right w:type="dxa" w:w="100"/>
            </w:tcMar>
            <w:vAlign w:val="center"/>
          </w:tcPr>
          <w:p>
            <w:pPr>
              <w:spacing w:after="0" w:before="0"/>
            </w:pPr>
            <w:r>
              <w:rPr>
                <w:rFonts w:ascii="Calibri" w:cs="Calibri" w:eastAsia="Calibri" w:hAnsi="Calibri"/>
                <w:b w:val="false"/>
                <w:bCs w:val="false"/>
                <w:i w:val="false"/>
                <w:iCs w:val="false"/>
                <w:color w:val="525252"/>
                <w:sz w:val="19"/>
                <w:szCs w:val="19"/>
              </w:rPr>
              <w:t xml:space="preserve">Baseline  — Month 0</w:t>
            </w:r>
          </w:p>
        </w:tc>
        <w:tc>
          <w:tcPr>
            <w:tcW w:type="dxa" w:w="1350"/>
            <w:tcBorders>
              <w:top w:val="none" w:color="auto" w:sz="0"/>
              <w:left w:val="none" w:color="auto" w:sz="0"/>
              <w:bottom w:val="none" w:color="auto" w:sz="0"/>
              <w:right w:val="none" w:color="auto" w:sz="0"/>
            </w:tcBorders>
            <w:shd w:fill="8D8D8D" w:val="clear"/>
          </w:tcPr>
          <w:p>
            <w:pPr>
              <w:spacing w:after="0" w:before="0"/>
            </w:pPr>
            <w:r>
              <w:rPr>
                <w:rFonts w:ascii="Calibri" w:cs="Calibri" w:eastAsia="Calibri" w:hAnsi="Calibri"/>
                <w:sz w:val="12"/>
                <w:szCs w:val="12"/>
              </w:rPr>
              <w:t xml:space="preserve"/>
            </w:r>
          </w:p>
        </w:tc>
        <w:tc>
          <w:tcPr>
            <w:tcW w:type="dxa" w:w="4050"/>
            <w:tcBorders>
              <w:top w:val="none" w:color="auto" w:sz="0"/>
              <w:left w:val="none" w:color="auto" w:sz="0"/>
              <w:bottom w:val="none" w:color="auto" w:sz="0"/>
              <w:right w:val="none" w:color="auto" w:sz="0"/>
            </w:tcBorders>
            <w:shd w:fill="E0E0E0" w:val="clear"/>
          </w:tcPr>
          <w:p>
            <w:pPr>
              <w:spacing w:after="0" w:before="0"/>
            </w:pPr>
            <w:r>
              <w:rPr>
                <w:rFonts w:ascii="Calibri" w:cs="Calibri" w:eastAsia="Calibri" w:hAnsi="Calibri"/>
                <w:sz w:val="12"/>
                <w:szCs w:val="12"/>
              </w:rPr>
              <w:t xml:space="preserve"/>
            </w:r>
          </w:p>
        </w:tc>
        <w:tc>
          <w:tcPr>
            <w:tcW w:type="dxa" w:w="1160"/>
            <w:tcBorders>
              <w:top w:val="none" w:color="auto" w:sz="0"/>
              <w:left w:val="none" w:color="auto" w:sz="0"/>
              <w:bottom w:val="none" w:color="auto" w:sz="0"/>
              <w:right w:val="none" w:color="auto" w:sz="0"/>
            </w:tcBorders>
            <w:shd w:fill="FFFFFF" w:val="clear"/>
            <w:tcMar>
              <w:top w:type="dxa" w:w="60"/>
              <w:left w:type="dxa" w:w="100"/>
              <w:bottom w:type="dxa" w:w="60"/>
            </w:tcMar>
            <w:vAlign w:val="center"/>
          </w:tcPr>
          <w:p>
            <w:pPr>
              <w:spacing w:after="0" w:before="0"/>
              <w:jc w:val="right"/>
            </w:pPr>
            <w:r>
              <w:rPr>
                <w:rFonts w:ascii="Calibri" w:cs="Calibri" w:eastAsia="Calibri" w:hAnsi="Calibri"/>
                <w:b/>
                <w:bCs/>
                <w:i w:val="false"/>
                <w:iCs w:val="false"/>
                <w:color w:val="8D8D8D"/>
                <w:sz w:val="19"/>
                <w:szCs w:val="19"/>
              </w:rPr>
              <w:t xml:space="preserve">~25%</w:t>
            </w:r>
          </w:p>
        </w:tc>
      </w:tr>
      <w:tr>
        <w:tc>
          <w:tcPr>
            <w:tcW w:type="dxa" w:w="2800"/>
            <w:tcBorders>
              <w:top w:val="none" w:color="auto" w:sz="0"/>
              <w:left w:val="none" w:color="auto" w:sz="0"/>
              <w:bottom w:val="none" w:color="auto" w:sz="0"/>
              <w:right w:val="none" w:color="auto" w:sz="0"/>
            </w:tcBorders>
            <w:shd w:fill="FFFFFF" w:val="clear"/>
            <w:tcMar>
              <w:top w:type="dxa" w:w="60"/>
              <w:bottom w:type="dxa" w:w="60"/>
              <w:right w:type="dxa" w:w="100"/>
            </w:tcMar>
            <w:vAlign w:val="center"/>
          </w:tcPr>
          <w:p>
            <w:pPr>
              <w:spacing w:after="0" w:before="0"/>
            </w:pPr>
            <w:r>
              <w:rPr>
                <w:rFonts w:ascii="Calibri" w:cs="Calibri" w:eastAsia="Calibri" w:hAnsi="Calibri"/>
                <w:b w:val="false"/>
                <w:bCs w:val="false"/>
                <w:i w:val="false"/>
                <w:iCs w:val="false"/>
                <w:color w:val="525252"/>
                <w:sz w:val="19"/>
                <w:szCs w:val="19"/>
              </w:rPr>
              <w:t xml:space="preserve">Ignite    — Month 3</w:t>
            </w:r>
          </w:p>
        </w:tc>
        <w:tc>
          <w:tcPr>
            <w:tcW w:type="dxa" w:w="2430"/>
            <w:tcBorders>
              <w:top w:val="none" w:color="auto" w:sz="0"/>
              <w:left w:val="none" w:color="auto" w:sz="0"/>
              <w:bottom w:val="none" w:color="auto" w:sz="0"/>
              <w:right w:val="none" w:color="auto" w:sz="0"/>
            </w:tcBorders>
            <w:shd w:fill="0072C3" w:val="clear"/>
          </w:tcPr>
          <w:p>
            <w:pPr>
              <w:spacing w:after="0" w:before="0"/>
            </w:pPr>
            <w:r>
              <w:rPr>
                <w:rFonts w:ascii="Calibri" w:cs="Calibri" w:eastAsia="Calibri" w:hAnsi="Calibri"/>
                <w:sz w:val="12"/>
                <w:szCs w:val="12"/>
              </w:rPr>
              <w:t xml:space="preserve"/>
            </w:r>
          </w:p>
        </w:tc>
        <w:tc>
          <w:tcPr>
            <w:tcW w:type="dxa" w:w="2970"/>
            <w:tcBorders>
              <w:top w:val="none" w:color="auto" w:sz="0"/>
              <w:left w:val="none" w:color="auto" w:sz="0"/>
              <w:bottom w:val="none" w:color="auto" w:sz="0"/>
              <w:right w:val="none" w:color="auto" w:sz="0"/>
            </w:tcBorders>
            <w:shd w:fill="E0E0E0" w:val="clear"/>
          </w:tcPr>
          <w:p>
            <w:pPr>
              <w:spacing w:after="0" w:before="0"/>
            </w:pPr>
            <w:r>
              <w:rPr>
                <w:rFonts w:ascii="Calibri" w:cs="Calibri" w:eastAsia="Calibri" w:hAnsi="Calibri"/>
                <w:sz w:val="12"/>
                <w:szCs w:val="12"/>
              </w:rPr>
              <w:t xml:space="preserve"/>
            </w:r>
          </w:p>
        </w:tc>
        <w:tc>
          <w:tcPr>
            <w:tcW w:type="dxa" w:w="1160"/>
            <w:tcBorders>
              <w:top w:val="none" w:color="auto" w:sz="0"/>
              <w:left w:val="none" w:color="auto" w:sz="0"/>
              <w:bottom w:val="none" w:color="auto" w:sz="0"/>
              <w:right w:val="none" w:color="auto" w:sz="0"/>
            </w:tcBorders>
            <w:shd w:fill="FFFFFF" w:val="clear"/>
            <w:tcMar>
              <w:top w:type="dxa" w:w="60"/>
              <w:left w:type="dxa" w:w="100"/>
              <w:bottom w:type="dxa" w:w="60"/>
            </w:tcMar>
            <w:vAlign w:val="center"/>
          </w:tcPr>
          <w:p>
            <w:pPr>
              <w:spacing w:after="0" w:before="0"/>
              <w:jc w:val="right"/>
            </w:pPr>
            <w:r>
              <w:rPr>
                <w:rFonts w:ascii="Calibri" w:cs="Calibri" w:eastAsia="Calibri" w:hAnsi="Calibri"/>
                <w:b/>
                <w:bCs/>
                <w:i w:val="false"/>
                <w:iCs w:val="false"/>
                <w:color w:val="0072C3"/>
                <w:sz w:val="19"/>
                <w:szCs w:val="19"/>
              </w:rPr>
              <w:t xml:space="preserve">45%</w:t>
            </w:r>
          </w:p>
        </w:tc>
      </w:tr>
      <w:tr>
        <w:tc>
          <w:tcPr>
            <w:tcW w:type="dxa" w:w="2800"/>
            <w:tcBorders>
              <w:top w:val="none" w:color="auto" w:sz="0"/>
              <w:left w:val="none" w:color="auto" w:sz="0"/>
              <w:bottom w:val="none" w:color="auto" w:sz="0"/>
              <w:right w:val="none" w:color="auto" w:sz="0"/>
            </w:tcBorders>
            <w:shd w:fill="FFFFFF" w:val="clear"/>
            <w:tcMar>
              <w:top w:type="dxa" w:w="60"/>
              <w:bottom w:type="dxa" w:w="60"/>
              <w:right w:type="dxa" w:w="100"/>
            </w:tcMar>
            <w:vAlign w:val="center"/>
          </w:tcPr>
          <w:p>
            <w:pPr>
              <w:spacing w:after="0" w:before="0"/>
            </w:pPr>
            <w:r>
              <w:rPr>
                <w:rFonts w:ascii="Calibri" w:cs="Calibri" w:eastAsia="Calibri" w:hAnsi="Calibri"/>
                <w:b w:val="false"/>
                <w:bCs w:val="false"/>
                <w:i w:val="false"/>
                <w:iCs w:val="false"/>
                <w:color w:val="525252"/>
                <w:sz w:val="19"/>
                <w:szCs w:val="19"/>
              </w:rPr>
              <w:t xml:space="preserve">Scale     — Month 6</w:t>
            </w:r>
          </w:p>
        </w:tc>
        <w:tc>
          <w:tcPr>
            <w:tcW w:type="dxa" w:w="2970"/>
            <w:tcBorders>
              <w:top w:val="none" w:color="auto" w:sz="0"/>
              <w:left w:val="none" w:color="auto" w:sz="0"/>
              <w:bottom w:val="none" w:color="auto" w:sz="0"/>
              <w:right w:val="none" w:color="auto" w:sz="0"/>
            </w:tcBorders>
            <w:shd w:fill="0043CE" w:val="clear"/>
          </w:tcPr>
          <w:p>
            <w:pPr>
              <w:spacing w:after="0" w:before="0"/>
            </w:pPr>
            <w:r>
              <w:rPr>
                <w:rFonts w:ascii="Calibri" w:cs="Calibri" w:eastAsia="Calibri" w:hAnsi="Calibri"/>
                <w:sz w:val="12"/>
                <w:szCs w:val="12"/>
              </w:rPr>
              <w:t xml:space="preserve"/>
            </w:r>
          </w:p>
        </w:tc>
        <w:tc>
          <w:tcPr>
            <w:tcW w:type="dxa" w:w="2430"/>
            <w:tcBorders>
              <w:top w:val="none" w:color="auto" w:sz="0"/>
              <w:left w:val="none" w:color="auto" w:sz="0"/>
              <w:bottom w:val="none" w:color="auto" w:sz="0"/>
              <w:right w:val="none" w:color="auto" w:sz="0"/>
            </w:tcBorders>
            <w:shd w:fill="E0E0E0" w:val="clear"/>
          </w:tcPr>
          <w:p>
            <w:pPr>
              <w:spacing w:after="0" w:before="0"/>
            </w:pPr>
            <w:r>
              <w:rPr>
                <w:rFonts w:ascii="Calibri" w:cs="Calibri" w:eastAsia="Calibri" w:hAnsi="Calibri"/>
                <w:sz w:val="12"/>
                <w:szCs w:val="12"/>
              </w:rPr>
              <w:t xml:space="preserve"/>
            </w:r>
          </w:p>
        </w:tc>
        <w:tc>
          <w:tcPr>
            <w:tcW w:type="dxa" w:w="1160"/>
            <w:tcBorders>
              <w:top w:val="none" w:color="auto" w:sz="0"/>
              <w:left w:val="none" w:color="auto" w:sz="0"/>
              <w:bottom w:val="none" w:color="auto" w:sz="0"/>
              <w:right w:val="none" w:color="auto" w:sz="0"/>
            </w:tcBorders>
            <w:shd w:fill="FFFFFF" w:val="clear"/>
            <w:tcMar>
              <w:top w:type="dxa" w:w="60"/>
              <w:left w:type="dxa" w:w="100"/>
              <w:bottom w:type="dxa" w:w="60"/>
            </w:tcMar>
            <w:vAlign w:val="center"/>
          </w:tcPr>
          <w:p>
            <w:pPr>
              <w:spacing w:after="0" w:before="0"/>
              <w:jc w:val="right"/>
            </w:pPr>
            <w:r>
              <w:rPr>
                <w:rFonts w:ascii="Calibri" w:cs="Calibri" w:eastAsia="Calibri" w:hAnsi="Calibri"/>
                <w:b/>
                <w:bCs/>
                <w:i w:val="false"/>
                <w:iCs w:val="false"/>
                <w:color w:val="0043CE"/>
                <w:sz w:val="19"/>
                <w:szCs w:val="19"/>
              </w:rPr>
              <w:t xml:space="preserve">55%</w:t>
            </w:r>
          </w:p>
        </w:tc>
      </w:tr>
      <w:tr>
        <w:tc>
          <w:tcPr>
            <w:tcW w:type="dxa" w:w="2800"/>
            <w:tcBorders>
              <w:top w:val="none" w:color="auto" w:sz="0"/>
              <w:left w:val="none" w:color="auto" w:sz="0"/>
              <w:bottom w:val="none" w:color="auto" w:sz="0"/>
              <w:right w:val="none" w:color="auto" w:sz="0"/>
            </w:tcBorders>
            <w:shd w:fill="FFFFFF" w:val="clear"/>
            <w:tcMar>
              <w:top w:type="dxa" w:w="60"/>
              <w:bottom w:type="dxa" w:w="60"/>
              <w:right w:type="dxa" w:w="100"/>
            </w:tcMar>
            <w:vAlign w:val="center"/>
          </w:tcPr>
          <w:p>
            <w:pPr>
              <w:spacing w:after="0" w:before="0"/>
            </w:pPr>
            <w:r>
              <w:rPr>
                <w:rFonts w:ascii="Calibri" w:cs="Calibri" w:eastAsia="Calibri" w:hAnsi="Calibri"/>
                <w:b w:val="false"/>
                <w:bCs w:val="false"/>
                <w:i w:val="false"/>
                <w:iCs w:val="false"/>
                <w:color w:val="525252"/>
                <w:sz w:val="19"/>
                <w:szCs w:val="19"/>
              </w:rPr>
              <w:t xml:space="preserve">Optimise  — Month 9</w:t>
            </w:r>
          </w:p>
        </w:tc>
        <w:tc>
          <w:tcPr>
            <w:tcW w:type="dxa" w:w="3888"/>
            <w:tcBorders>
              <w:top w:val="none" w:color="auto" w:sz="0"/>
              <w:left w:val="none" w:color="auto" w:sz="0"/>
              <w:bottom w:val="none" w:color="auto" w:sz="0"/>
              <w:right w:val="none" w:color="auto" w:sz="0"/>
            </w:tcBorders>
            <w:shd w:fill="0F62FE" w:val="clear"/>
          </w:tcPr>
          <w:p>
            <w:pPr>
              <w:spacing w:after="0" w:before="0"/>
            </w:pPr>
            <w:r>
              <w:rPr>
                <w:rFonts w:ascii="Calibri" w:cs="Calibri" w:eastAsia="Calibri" w:hAnsi="Calibri"/>
                <w:sz w:val="12"/>
                <w:szCs w:val="12"/>
              </w:rPr>
              <w:t xml:space="preserve"/>
            </w:r>
          </w:p>
        </w:tc>
        <w:tc>
          <w:tcPr>
            <w:tcW w:type="dxa" w:w="1512"/>
            <w:tcBorders>
              <w:top w:val="none" w:color="auto" w:sz="0"/>
              <w:left w:val="none" w:color="auto" w:sz="0"/>
              <w:bottom w:val="none" w:color="auto" w:sz="0"/>
              <w:right w:val="none" w:color="auto" w:sz="0"/>
            </w:tcBorders>
            <w:shd w:fill="E0E0E0" w:val="clear"/>
          </w:tcPr>
          <w:p>
            <w:pPr>
              <w:spacing w:after="0" w:before="0"/>
            </w:pPr>
            <w:r>
              <w:rPr>
                <w:rFonts w:ascii="Calibri" w:cs="Calibri" w:eastAsia="Calibri" w:hAnsi="Calibri"/>
                <w:sz w:val="12"/>
                <w:szCs w:val="12"/>
              </w:rPr>
              <w:t xml:space="preserve"/>
            </w:r>
          </w:p>
        </w:tc>
        <w:tc>
          <w:tcPr>
            <w:tcW w:type="dxa" w:w="1160"/>
            <w:tcBorders>
              <w:top w:val="none" w:color="auto" w:sz="0"/>
              <w:left w:val="none" w:color="auto" w:sz="0"/>
              <w:bottom w:val="none" w:color="auto" w:sz="0"/>
              <w:right w:val="none" w:color="auto" w:sz="0"/>
            </w:tcBorders>
            <w:shd w:fill="FFFFFF" w:val="clear"/>
            <w:tcMar>
              <w:top w:type="dxa" w:w="60"/>
              <w:left w:type="dxa" w:w="100"/>
              <w:bottom w:type="dxa" w:w="60"/>
            </w:tcMar>
            <w:vAlign w:val="center"/>
          </w:tcPr>
          <w:p>
            <w:pPr>
              <w:spacing w:after="0" w:before="0"/>
              <w:jc w:val="right"/>
            </w:pPr>
            <w:r>
              <w:rPr>
                <w:rFonts w:ascii="Calibri" w:cs="Calibri" w:eastAsia="Calibri" w:hAnsi="Calibri"/>
                <w:b/>
                <w:bCs/>
                <w:i w:val="false"/>
                <w:iCs w:val="false"/>
                <w:color w:val="0F62FE"/>
                <w:sz w:val="19"/>
                <w:szCs w:val="19"/>
              </w:rPr>
              <w:t xml:space="preserve">72%</w:t>
            </w:r>
          </w:p>
        </w:tc>
      </w:tr>
      <w:tr>
        <w:tc>
          <w:tcPr>
            <w:tcW w:type="dxa" w:w="2800"/>
            <w:tcBorders>
              <w:top w:val="none" w:color="auto" w:sz="0"/>
              <w:left w:val="none" w:color="auto" w:sz="0"/>
              <w:bottom w:val="none" w:color="auto" w:sz="0"/>
              <w:right w:val="none" w:color="auto" w:sz="0"/>
            </w:tcBorders>
            <w:shd w:fill="FFFFFF" w:val="clear"/>
            <w:tcMar>
              <w:top w:type="dxa" w:w="60"/>
              <w:bottom w:type="dxa" w:w="60"/>
              <w:right w:type="dxa" w:w="100"/>
            </w:tcMar>
            <w:vAlign w:val="center"/>
          </w:tcPr>
          <w:p>
            <w:pPr>
              <w:spacing w:after="0" w:before="0"/>
            </w:pPr>
            <w:r>
              <w:rPr>
                <w:rFonts w:ascii="Calibri" w:cs="Calibri" w:eastAsia="Calibri" w:hAnsi="Calibri"/>
                <w:b w:val="false"/>
                <w:bCs w:val="false"/>
                <w:i w:val="false"/>
                <w:iCs w:val="false"/>
                <w:color w:val="525252"/>
                <w:sz w:val="19"/>
                <w:szCs w:val="19"/>
              </w:rPr>
              <w:t xml:space="preserve">Target    — Month 12</w:t>
            </w:r>
          </w:p>
        </w:tc>
        <w:tc>
          <w:tcPr>
            <w:tcW w:type="dxa" w:w="4428"/>
            <w:tcBorders>
              <w:top w:val="none" w:color="auto" w:sz="0"/>
              <w:left w:val="none" w:color="auto" w:sz="0"/>
              <w:bottom w:val="none" w:color="auto" w:sz="0"/>
              <w:right w:val="none" w:color="auto" w:sz="0"/>
            </w:tcBorders>
            <w:shd w:fill="001141" w:val="clear"/>
          </w:tcPr>
          <w:p>
            <w:pPr>
              <w:spacing w:after="0" w:before="0"/>
            </w:pPr>
            <w:r>
              <w:rPr>
                <w:rFonts w:ascii="Calibri" w:cs="Calibri" w:eastAsia="Calibri" w:hAnsi="Calibri"/>
                <w:sz w:val="12"/>
                <w:szCs w:val="12"/>
              </w:rPr>
              <w:t xml:space="preserve"/>
            </w:r>
          </w:p>
        </w:tc>
        <w:tc>
          <w:tcPr>
            <w:tcW w:type="dxa" w:w="972"/>
            <w:tcBorders>
              <w:top w:val="none" w:color="auto" w:sz="0"/>
              <w:left w:val="none" w:color="auto" w:sz="0"/>
              <w:bottom w:val="none" w:color="auto" w:sz="0"/>
              <w:right w:val="none" w:color="auto" w:sz="0"/>
            </w:tcBorders>
            <w:shd w:fill="E0E0E0" w:val="clear"/>
          </w:tcPr>
          <w:p>
            <w:pPr>
              <w:spacing w:after="0" w:before="0"/>
            </w:pPr>
            <w:r>
              <w:rPr>
                <w:rFonts w:ascii="Calibri" w:cs="Calibri" w:eastAsia="Calibri" w:hAnsi="Calibri"/>
                <w:sz w:val="12"/>
                <w:szCs w:val="12"/>
              </w:rPr>
              <w:t xml:space="preserve"/>
            </w:r>
          </w:p>
        </w:tc>
        <w:tc>
          <w:tcPr>
            <w:tcW w:type="dxa" w:w="1160"/>
            <w:tcBorders>
              <w:top w:val="none" w:color="auto" w:sz="0"/>
              <w:left w:val="none" w:color="auto" w:sz="0"/>
              <w:bottom w:val="none" w:color="auto" w:sz="0"/>
              <w:right w:val="none" w:color="auto" w:sz="0"/>
            </w:tcBorders>
            <w:shd w:fill="FFFFFF" w:val="clear"/>
            <w:tcMar>
              <w:top w:type="dxa" w:w="60"/>
              <w:left w:type="dxa" w:w="100"/>
              <w:bottom w:type="dxa" w:w="60"/>
            </w:tcMar>
            <w:vAlign w:val="center"/>
          </w:tcPr>
          <w:p>
            <w:pPr>
              <w:spacing w:after="0" w:before="0"/>
              <w:jc w:val="right"/>
            </w:pPr>
            <w:r>
              <w:rPr>
                <w:rFonts w:ascii="Calibri" w:cs="Calibri" w:eastAsia="Calibri" w:hAnsi="Calibri"/>
                <w:b/>
                <w:bCs/>
                <w:i w:val="false"/>
                <w:iCs w:val="false"/>
                <w:color w:val="001141"/>
                <w:sz w:val="19"/>
                <w:szCs w:val="19"/>
              </w:rPr>
              <w:t xml:space="preserve">80%+</w:t>
            </w:r>
          </w:p>
        </w:tc>
      </w:tr>
    </w:tbl>
    <w:p>
      <w:pPr>
        <w:pageBreakBefore/>
        <w:pBdr>
          <w:top w:val="single" w:color="0F62FE" w:sz="20" w:space="10"/>
        </w:pBdr>
        <w:spacing w:after="80" w:before="0"/>
      </w:pPr>
    </w:p>
    <w:p>
      <w:pPr>
        <w:spacing w:after="60" w:before="0"/>
      </w:pPr>
      <w:r>
        <w:rPr>
          <w:rFonts w:ascii="Calibri" w:cs="Calibri" w:eastAsia="Calibri" w:hAnsi="Calibri"/>
          <w:b/>
          <w:bCs/>
          <w:i w:val="false"/>
          <w:iCs w:val="false"/>
          <w:color w:val="0F62FE"/>
          <w:sz w:val="19"/>
          <w:szCs w:val="19"/>
        </w:rPr>
        <w:t xml:space="preserve">06  </w:t>
      </w:r>
      <w:r>
        <w:rPr>
          <w:rFonts w:ascii="Calibri" w:cs="Calibri" w:eastAsia="Calibri" w:hAnsi="Calibri"/>
          <w:b/>
          <w:bCs/>
          <w:i w:val="false"/>
          <w:iCs w:val="false"/>
          <w:color w:val="001141"/>
          <w:sz w:val="36"/>
          <w:szCs w:val="36"/>
        </w:rPr>
        <w:t xml:space="preserve">Member &amp; Provider Experience</w:t>
      </w:r>
    </w:p>
    <w:p>
      <w:pPr>
        <w:spacing w:after="160" w:before="0"/>
      </w:pPr>
      <w:r>
        <w:rPr>
          <w:rFonts w:ascii="Calibri" w:cs="Calibri" w:eastAsia="Calibri" w:hAnsi="Calibri"/>
          <w:b w:val="false"/>
          <w:bCs w:val="false"/>
          <w:i/>
          <w:iCs/>
          <w:color w:val="8D8D8D"/>
          <w:sz w:val="20"/>
          <w:szCs w:val="20"/>
        </w:rPr>
        <w:t xml:space="preserve">Every Operational Improvement Is Measured by the Human It Serves</w:t>
      </w:r>
    </w:p>
    <w:p>
      <w:pPr>
        <w:spacing w:after="80" w:before="0"/>
      </w:pPr>
      <w:r>
        <w:rPr>
          <w:rFonts w:ascii="Calibri" w:cs="Calibri" w:eastAsia="Calibri" w:hAnsi="Calibri"/>
          <w:sz w:val="12"/>
          <w:szCs w:val="12"/>
        </w:rPr>
        <w:t xml:space="preserve"/>
      </w:r>
    </w:p>
    <w:p>
      <w:pPr>
        <w:pBdr>
          <w:left w:val="single" w:color="0F62FE" w:sz="20" w:space="12"/>
        </w:pBdr>
        <w:spacing w:after="40" w:before="60"/>
        <w:ind w:left="576"/>
      </w:pPr>
      <w:r>
        <w:rPr>
          <w:rFonts w:ascii="Calibri" w:cs="Calibri" w:eastAsia="Calibri" w:hAnsi="Calibri"/>
          <w:b w:val="false"/>
          <w:bCs w:val="false"/>
          <w:i/>
          <w:iCs/>
          <w:color w:val="001141"/>
          <w:sz w:val="23"/>
          <w:szCs w:val="23"/>
        </w:rPr>
        <w:t xml:space="preserve">“The best technology is invisible to the member. The claim processes correctly. The prior auth comes back in hours, not days. The enrollment is seamless. The call center answers on the first ring. That is the measure. Everything else is infrastructure.”</w:t>
      </w:r>
    </w:p>
    <w:p>
      <w:pPr>
        <w:spacing w:after="120" w:before="0"/>
        <w:jc w:val="right"/>
      </w:pPr>
      <w:r>
        <w:rPr>
          <w:rFonts w:ascii="Calibri" w:cs="Calibri" w:eastAsia="Calibri" w:hAnsi="Calibri"/>
          <w:b/>
          <w:bCs/>
          <w:i w:val="false"/>
          <w:iCs w:val="false"/>
          <w:color w:val="0F62FE"/>
          <w:sz w:val="18"/>
          <w:szCs w:val="18"/>
        </w:rPr>
        <w:t xml:space="preserve">— IBM Consulting — Healthcare Payer Design</w:t>
      </w:r>
    </w:p>
    <w:p>
      <w:pPr>
        <w:spacing w:after="80" w:before="200"/>
      </w:pPr>
      <w:r>
        <w:rPr>
          <w:rFonts w:ascii="Calibri" w:cs="Calibri" w:eastAsia="Calibri" w:hAnsi="Calibri"/>
          <w:b/>
          <w:bCs/>
          <w:i w:val="false"/>
          <w:iCs w:val="false"/>
          <w:color w:val="001141"/>
          <w:sz w:val="24"/>
          <w:szCs w:val="24"/>
        </w:rPr>
        <w:t xml:space="preserve">Claims Operations Intelligence</w:t>
      </w:r>
    </w:p>
    <w:p>
      <w:pPr>
        <w:spacing w:after="100" w:before="0"/>
      </w:pPr>
      <w:r>
        <w:rPr>
          <w:rFonts w:ascii="Calibri" w:cs="Calibri" w:eastAsia="Calibri" w:hAnsi="Calibri"/>
          <w:b w:val="false"/>
          <w:bCs w:val="false"/>
          <w:i w:val="false"/>
          <w:iCs w:val="false"/>
          <w:color w:val="525252"/>
          <w:sz w:val="21"/>
          <w:szCs w:val="21"/>
        </w:rPr>
        <w:t xml:space="preserve">Claims and prior authorization are among Horizon’s highest-volume, highest-risk operational domains. IBM embeds AI-driven intelligence to accelerate adjudication, reduce denials, and eliminate manual backlog management — at enterprise scale across the ~1,000-application estate.</w:t>
      </w:r>
    </w:p>
    <w:p>
      <w:pPr>
        <w:spacing w:after="100" w:before="0"/>
      </w:pPr>
      <w:r>
        <w:rPr>
          <w:rFonts w:ascii="Calibri" w:cs="Calibri" w:eastAsia="Calibri" w:hAnsi="Calibri"/>
          <w:b w:val="false"/>
          <w:bCs w:val="false"/>
          <w:i w:val="false"/>
          <w:iCs w:val="false"/>
          <w:color w:val="525252"/>
          <w:sz w:val="21"/>
          <w:szCs w:val="21"/>
        </w:rPr>
        <w:t xml:space="preserve">IBM’s CareOps360 platform surfaces real-time visibility into the claims lifecycle — from receipt through adjudication, settlement, and denial management. Operational leads and executives identify queue bottlenecks, denial spikes, and auto-adjudication performance degradation in real time, without waiting for next-day reporting.</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AI-enhanced auto-adjudication rules engine — reducing manual adjudication rates from baseline.</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Denial pattern analytics — identifying root causes across procedure, eligibility, and coordination of benefits failures.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Real-time claims dashboard: volume by line of business, TAT trending, denial driver breakdown.</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SLA-bound adjudication commitments: turnaround time reduction target agreed at contract.</w:t>
      </w:r>
    </w:p>
    <w:p>
      <w:pPr>
        <w:spacing w:after="80" w:before="200"/>
      </w:pPr>
      <w:r>
        <w:rPr>
          <w:rFonts w:ascii="Calibri" w:cs="Calibri" w:eastAsia="Calibri" w:hAnsi="Calibri"/>
          <w:b/>
          <w:bCs/>
          <w:i w:val="false"/>
          <w:iCs w:val="false"/>
          <w:color w:val="001141"/>
          <w:sz w:val="24"/>
          <w:szCs w:val="24"/>
        </w:rPr>
        <w:t xml:space="preserve">Prior Authorization — AI-Assisted Review</w:t>
      </w:r>
    </w:p>
    <w:p>
      <w:pPr>
        <w:spacing w:after="100" w:before="0"/>
      </w:pPr>
      <w:r>
        <w:rPr>
          <w:rFonts w:ascii="Calibri" w:cs="Calibri" w:eastAsia="Calibri" w:hAnsi="Calibri"/>
          <w:b w:val="false"/>
          <w:bCs w:val="false"/>
          <w:i w:val="false"/>
          <w:iCs w:val="false"/>
          <w:color w:val="525252"/>
          <w:sz w:val="21"/>
          <w:szCs w:val="21"/>
        </w:rPr>
        <w:t xml:space="preserve">Prior authorization is a significant operational and member experience pressure point. Horizon’s current backlog and review cycle times create friction for providers and members alike. IBM deploys AI-assisted review tooling to triage and prioritise requests, identify auto-approvable cases, and flag clinically complex cases for expedited human review.</w:t>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dxa" w:w="3931"/>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Prior Auth Metric</w:t>
            </w:r>
          </w:p>
        </w:tc>
        <w:tc>
          <w:tcPr>
            <w:tcW w:type="dxa" w:w="5429"/>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Target Direction</w:t>
            </w:r>
          </w:p>
        </w:tc>
      </w:tr>
      <w:tr>
        <w:tc>
          <w:tcPr>
            <w:tcW w:type="dxa" w:w="3931"/>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Requests Received Daily</w:t>
            </w:r>
          </w:p>
        </w:tc>
        <w:tc>
          <w:tcPr>
            <w:tcW w:type="dxa" w:w="5429"/>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Trend monitored weekly</w:t>
            </w:r>
          </w:p>
        </w:tc>
      </w:tr>
      <w:tr>
        <w:tc>
          <w:tcPr>
            <w:tcW w:type="dxa" w:w="3931"/>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Average Review Hours</w:t>
            </w:r>
          </w:p>
        </w:tc>
        <w:tc>
          <w:tcPr>
            <w:tcW w:type="dxa" w:w="5429"/>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Reduction target (baseline to agreed)</w:t>
            </w:r>
          </w:p>
        </w:tc>
      </w:tr>
      <w:tr>
        <w:tc>
          <w:tcPr>
            <w:tcW w:type="dxa" w:w="3931"/>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Urgent Request SLA</w:t>
            </w:r>
          </w:p>
        </w:tc>
        <w:tc>
          <w:tcPr>
            <w:tcW w:type="dxa" w:w="5429"/>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100% within 72-hr regulatory SLA</w:t>
            </w:r>
          </w:p>
        </w:tc>
      </w:tr>
      <w:tr>
        <w:tc>
          <w:tcPr>
            <w:tcW w:type="dxa" w:w="3931"/>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Backlog Size</w:t>
            </w:r>
          </w:p>
        </w:tc>
        <w:tc>
          <w:tcPr>
            <w:tcW w:type="dxa" w:w="5429"/>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Reduction tracked monthly</w:t>
            </w:r>
          </w:p>
        </w:tc>
      </w:tr>
      <w:tr>
        <w:tc>
          <w:tcPr>
            <w:tcW w:type="dxa" w:w="3931"/>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Auto-Approval Rate (low-risk)</w:t>
            </w:r>
          </w:p>
        </w:tc>
        <w:tc>
          <w:tcPr>
            <w:tcW w:type="dxa" w:w="5429"/>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Increase target: &gt;40% by Month 12</w:t>
            </w:r>
          </w:p>
        </w:tc>
      </w:tr>
    </w:tbl>
    <w:p>
      <w:pPr>
        <w:spacing w:after="80" w:before="0"/>
      </w:pPr>
      <w:r>
        <w:rPr>
          <w:rFonts w:ascii="Calibri" w:cs="Calibri" w:eastAsia="Calibri" w:hAnsi="Calibri"/>
          <w:sz w:val="12"/>
          <w:szCs w:val="12"/>
        </w:rPr>
        <w:t xml:space="preserve"/>
      </w:r>
    </w:p>
    <w:p>
      <w:pPr>
        <w:shd w:fill="EBF2FF" w:val="clear"/>
        <w:spacing w:after="120" w:before="120"/>
        <w:ind w:left="360" w:right="360"/>
      </w:pPr>
      <w:r>
        <w:rPr>
          <w:rFonts w:ascii="Calibri" w:cs="Calibri" w:eastAsia="Calibri" w:hAnsi="Calibri"/>
          <w:b/>
          <w:bCs/>
          <w:i w:val="false"/>
          <w:iCs w:val="false"/>
          <w:color w:val="001141"/>
          <w:sz w:val="21"/>
          <w:szCs w:val="21"/>
        </w:rPr>
        <w:t xml:space="preserve">Target: 100% of urgent prior auth requests resolved within regulatory SLA. AI-assisted triage to reduce average review time by 30%+ within 12 months.</w:t>
      </w:r>
    </w:p>
    <w:p>
      <w:pPr>
        <w:spacing w:after="80" w:before="200"/>
      </w:pPr>
      <w:r>
        <w:rPr>
          <w:rFonts w:ascii="Calibri" w:cs="Calibri" w:eastAsia="Calibri" w:hAnsi="Calibri"/>
          <w:b/>
          <w:bCs/>
          <w:i w:val="false"/>
          <w:iCs w:val="false"/>
          <w:color w:val="001141"/>
          <w:sz w:val="24"/>
          <w:szCs w:val="24"/>
        </w:rPr>
        <w:t xml:space="preserve">Enrollment Intelligence</w:t>
      </w:r>
    </w:p>
    <w:p>
      <w:pPr>
        <w:spacing w:after="100" w:before="0"/>
      </w:pPr>
      <w:r>
        <w:rPr>
          <w:rFonts w:ascii="Calibri" w:cs="Calibri" w:eastAsia="Calibri" w:hAnsi="Calibri"/>
          <w:b w:val="false"/>
          <w:bCs w:val="false"/>
          <w:i w:val="false"/>
          <w:iCs w:val="false"/>
          <w:color w:val="525252"/>
          <w:sz w:val="21"/>
          <w:szCs w:val="21"/>
        </w:rPr>
        <w:t xml:space="preserve">Horizon’s enrollment pipeline processes tens of thousands of records across individual, group, commercial, and government segments. IBM transforms this from a reactive batch function into a proactive, real-time, AI-augmented enrollment operations capability.</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Canonical 834 Transformation — all channels converted to Horizon canonical format at intake.</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Real-Time Validation — errors caught in minutes, not hours, with companion guide ingestion built in.</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Shift-Left Member Mastering — COB resolved and HUMI assigned earlier, improving auto-match rate.</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Agentic Remediation — majority of exceptions auto-resolved with confidence scoring and RCA generation.</w:t>
      </w:r>
    </w:p>
    <w:p>
      <w:pPr>
        <w:spacing w:after="80" w:before="200"/>
      </w:pPr>
      <w:r>
        <w:rPr>
          <w:rFonts w:ascii="Calibri" w:cs="Calibri" w:eastAsia="Calibri" w:hAnsi="Calibri"/>
          <w:b/>
          <w:bCs/>
          <w:i w:val="false"/>
          <w:iCs w:val="false"/>
          <w:color w:val="001141"/>
          <w:sz w:val="24"/>
          <w:szCs w:val="24"/>
        </w:rPr>
        <w:t xml:space="preserve">Business Domain KPIs</w:t>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tblGrid>
      <w:tr>
        <w:tc>
          <w:tcPr>
            <w:tcW w:type="dxa" w:w="2434"/>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Business Domain</w:t>
            </w:r>
          </w:p>
        </w:tc>
        <w:tc>
          <w:tcPr>
            <w:tcW w:type="dxa" w:w="4306"/>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Key Member/Provider Metric</w:t>
            </w:r>
          </w:p>
        </w:tc>
        <w:tc>
          <w:tcPr>
            <w:tcW w:type="dxa" w:w="2621"/>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12-Month Target</w:t>
            </w:r>
          </w:p>
        </w:tc>
      </w:tr>
      <w:tr>
        <w:tc>
          <w:tcPr>
            <w:tcW w:type="dxa" w:w="2434"/>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Claims Operations</w:t>
            </w:r>
          </w:p>
        </w:tc>
        <w:tc>
          <w:tcPr>
            <w:tcW w:type="dxa" w:w="4306"/>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Adjudication cycle time</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−30%</w:t>
            </w:r>
          </w:p>
        </w:tc>
      </w:tr>
      <w:tr>
        <w:tc>
          <w:tcPr>
            <w:tcW w:type="dxa" w:w="2434"/>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Prior Authorization</w:t>
            </w:r>
          </w:p>
        </w:tc>
        <w:tc>
          <w:tcPr>
            <w:tcW w:type="dxa" w:w="4306"/>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Average review turnaround</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−30%+</w:t>
            </w:r>
          </w:p>
        </w:tc>
      </w:tr>
      <w:tr>
        <w:tc>
          <w:tcPr>
            <w:tcW w:type="dxa" w:w="2434"/>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Enrollment</w:t>
            </w:r>
          </w:p>
        </w:tc>
        <w:tc>
          <w:tcPr>
            <w:tcW w:type="dxa" w:w="4306"/>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Time-to-good (intake to validated)</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−40%</w:t>
            </w:r>
          </w:p>
        </w:tc>
      </w:tr>
      <w:tr>
        <w:tc>
          <w:tcPr>
            <w:tcW w:type="dxa" w:w="2434"/>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Member Services</w:t>
            </w:r>
          </w:p>
        </w:tc>
        <w:tc>
          <w:tcPr>
            <w:tcW w:type="dxa" w:w="4306"/>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First-contact resolution rate</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+25%</w:t>
            </w:r>
          </w:p>
        </w:tc>
      </w:tr>
      <w:tr>
        <w:tc>
          <w:tcPr>
            <w:tcW w:type="dxa" w:w="2434"/>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Provider Operations</w:t>
            </w:r>
          </w:p>
        </w:tc>
        <w:tc>
          <w:tcPr>
            <w:tcW w:type="dxa" w:w="4306"/>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Prior auth auto-approval rate</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&gt;40%</w:t>
            </w:r>
          </w:p>
        </w:tc>
      </w:tr>
      <w:tr>
        <w:tc>
          <w:tcPr>
            <w:tcW w:type="dxa" w:w="2434"/>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IT Operations</w:t>
            </w:r>
          </w:p>
        </w:tc>
        <w:tc>
          <w:tcPr>
            <w:tcW w:type="dxa" w:w="4306"/>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P3/P4 auto-resolution rate</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&gt;74%</w:t>
            </w:r>
          </w:p>
        </w:tc>
      </w:tr>
    </w:tbl>
    <w:p>
      <w:pPr>
        <w:pageBreakBefore/>
        <w:pBdr>
          <w:top w:val="single" w:color="0F62FE" w:sz="20" w:space="10"/>
        </w:pBdr>
        <w:spacing w:after="80" w:before="0"/>
      </w:pPr>
    </w:p>
    <w:p>
      <w:pPr>
        <w:spacing w:after="60" w:before="0"/>
      </w:pPr>
      <w:r>
        <w:rPr>
          <w:rFonts w:ascii="Calibri" w:cs="Calibri" w:eastAsia="Calibri" w:hAnsi="Calibri"/>
          <w:b/>
          <w:bCs/>
          <w:i w:val="false"/>
          <w:iCs w:val="false"/>
          <w:color w:val="0F62FE"/>
          <w:sz w:val="19"/>
          <w:szCs w:val="19"/>
        </w:rPr>
        <w:t xml:space="preserve">07  </w:t>
      </w:r>
      <w:r>
        <w:rPr>
          <w:rFonts w:ascii="Calibri" w:cs="Calibri" w:eastAsia="Calibri" w:hAnsi="Calibri"/>
          <w:b/>
          <w:bCs/>
          <w:i w:val="false"/>
          <w:iCs w:val="false"/>
          <w:color w:val="001141"/>
          <w:sz w:val="36"/>
          <w:szCs w:val="36"/>
        </w:rPr>
        <w:t xml:space="preserve">CareOps360 Command Center</w:t>
      </w:r>
    </w:p>
    <w:p>
      <w:pPr>
        <w:spacing w:after="160" w:before="0"/>
      </w:pPr>
      <w:r>
        <w:rPr>
          <w:rFonts w:ascii="Calibri" w:cs="Calibri" w:eastAsia="Calibri" w:hAnsi="Calibri"/>
          <w:b w:val="false"/>
          <w:bCs w:val="false"/>
          <w:i/>
          <w:iCs/>
          <w:color w:val="8D8D8D"/>
          <w:sz w:val="20"/>
          <w:szCs w:val="20"/>
        </w:rPr>
        <w:t xml:space="preserve">IBM’s Executive Operations Platform for Real-Time AMS Visibility at Horizon</w:t>
      </w:r>
    </w:p>
    <w:p>
      <w:pPr>
        <w:spacing w:after="80" w:before="0"/>
      </w:pPr>
      <w:r>
        <w:rPr>
          <w:rFonts w:ascii="Calibri" w:cs="Calibri" w:eastAsia="Calibri" w:hAnsi="Calibri"/>
          <w:sz w:val="12"/>
          <w:szCs w:val="12"/>
        </w:rPr>
        <w:t xml:space="preserve"/>
      </w:r>
    </w:p>
    <w:p>
      <w:pPr>
        <w:pBdr>
          <w:left w:val="single" w:color="0F62FE" w:sz="20" w:space="12"/>
        </w:pBdr>
        <w:spacing w:after="40" w:before="60"/>
        <w:ind w:left="576"/>
      </w:pPr>
      <w:r>
        <w:rPr>
          <w:rFonts w:ascii="Calibri" w:cs="Calibri" w:eastAsia="Calibri" w:hAnsi="Calibri"/>
          <w:b w:val="false"/>
          <w:bCs w:val="false"/>
          <w:i/>
          <w:iCs/>
          <w:color w:val="001141"/>
          <w:sz w:val="23"/>
          <w:szCs w:val="23"/>
        </w:rPr>
        <w:t xml:space="preserve">“Horizon’s leadership should never have to ask ‘how are we doing?’ and wait for a deck. The answer should be live, accurate, and one click away — every hour of every day. That is what CareOps360 delivers.”</w:t>
      </w:r>
    </w:p>
    <w:p>
      <w:pPr>
        <w:spacing w:after="120" w:before="0"/>
        <w:jc w:val="right"/>
      </w:pPr>
      <w:r>
        <w:rPr>
          <w:rFonts w:ascii="Calibri" w:cs="Calibri" w:eastAsia="Calibri" w:hAnsi="Calibri"/>
          <w:b/>
          <w:bCs/>
          <w:i w:val="false"/>
          <w:iCs w:val="false"/>
          <w:color w:val="0F62FE"/>
          <w:sz w:val="18"/>
          <w:szCs w:val="18"/>
        </w:rPr>
        <w:t xml:space="preserve">— IBM Consulting — Executive Visibility</w:t>
      </w:r>
    </w:p>
    <w:p>
      <w:pPr>
        <w:spacing w:after="80" w:before="200"/>
      </w:pPr>
      <w:r>
        <w:rPr>
          <w:rFonts w:ascii="Calibri" w:cs="Calibri" w:eastAsia="Calibri" w:hAnsi="Calibri"/>
          <w:b/>
          <w:bCs/>
          <w:i w:val="false"/>
          <w:iCs w:val="false"/>
          <w:color w:val="001141"/>
          <w:sz w:val="24"/>
          <w:szCs w:val="24"/>
        </w:rPr>
        <w:t xml:space="preserve">What Is CareOps360?</w:t>
      </w:r>
    </w:p>
    <w:p>
      <w:pPr>
        <w:spacing w:after="100" w:before="0"/>
      </w:pPr>
      <w:r>
        <w:rPr>
          <w:rFonts w:ascii="Calibri" w:cs="Calibri" w:eastAsia="Calibri" w:hAnsi="Calibri"/>
          <w:b w:val="false"/>
          <w:bCs w:val="false"/>
          <w:i w:val="false"/>
          <w:iCs w:val="false"/>
          <w:color w:val="525252"/>
          <w:sz w:val="21"/>
          <w:szCs w:val="21"/>
        </w:rPr>
        <w:t xml:space="preserve">CareOps360 is IBM’s production-grade executive operations platform purpose-built for the Horizon BCBS engagement. It delivers real-time operational intelligence across all AMS towers — enrollment, claims, applications, infrastructure, and quality — through a single, unified command center accessible to Horizon’s executive and operational leadership. The platform is architecture-ready for live production data and is currently deployed in a production-equivalent environment.</w:t>
      </w:r>
    </w:p>
    <w:p>
      <w:pPr>
        <w:spacing w:after="100" w:before="0"/>
      </w:pPr>
      <w:r>
        <w:rPr>
          <w:rFonts w:ascii="Calibri" w:cs="Calibri" w:eastAsia="Calibri" w:hAnsi="Calibri"/>
          <w:b w:val="false"/>
          <w:bCs w:val="false"/>
          <w:i w:val="false"/>
          <w:iCs w:val="false"/>
          <w:color w:val="525252"/>
          <w:sz w:val="21"/>
          <w:szCs w:val="21"/>
        </w:rPr>
        <w:t xml:space="preserve">Built on IBM’s AIOps observability framework, CareOps360 surfaces predictive insights, SLA performance, enrollment intelligence, digital front door metrics, and transformation roadmap progress — eliminating the need for manual reporting aggregation. No more quarterly decks. No more manual data pulls. Live data, always.</w:t>
      </w:r>
    </w:p>
    <w:p>
      <w:pPr>
        <w:spacing w:after="80" w:before="200"/>
      </w:pPr>
      <w:r>
        <w:rPr>
          <w:rFonts w:ascii="Calibri" w:cs="Calibri" w:eastAsia="Calibri" w:hAnsi="Calibri"/>
          <w:b/>
          <w:bCs/>
          <w:i w:val="false"/>
          <w:iCs w:val="false"/>
          <w:color w:val="001141"/>
          <w:sz w:val="24"/>
          <w:szCs w:val="24"/>
        </w:rPr>
        <w:t xml:space="preserve">Dashboards Delivered</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Executive Overview — Cross-tower operational pulse with 8 real-time KPI tiles.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Application Health — ~1,000 app inventory, incident register, availability trends.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Claims Operations — Daily volume, adjudication queue, denial analytics.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Prior Authorization — Backlog, review SLA, procedure-level approval rates.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Enrollment Intelligence — AI-assisted intake, pipeline health, surge detection.</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Member Services — Contact center, chatbot containment, digital adoption.</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IBM AIOps Value — Automation savings, shift-left rate, self-heal event tracking.</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Transformation Roadmap — Initiative portfolio with phase and risk status.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Capability Uplift — Workforce certification, automation coverage, AI readiness.</w:t>
      </w:r>
    </w:p>
    <w:p>
      <w:pPr>
        <w:spacing w:after="80" w:before="200"/>
      </w:pPr>
      <w:r>
        <w:rPr>
          <w:rFonts w:ascii="Calibri" w:cs="Calibri" w:eastAsia="Calibri" w:hAnsi="Calibri"/>
          <w:b/>
          <w:bCs/>
          <w:i w:val="false"/>
          <w:iCs w:val="false"/>
          <w:color w:val="001141"/>
          <w:sz w:val="24"/>
          <w:szCs w:val="24"/>
        </w:rPr>
        <w:t xml:space="preserve">Metrics Monitored via CareOps360</w:t>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tblGrid>
      <w:tr>
        <w:tc>
          <w:tcPr>
            <w:tcW w:type="dxa" w:w="2434"/>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Metric Domain</w:t>
            </w:r>
          </w:p>
        </w:tc>
        <w:tc>
          <w:tcPr>
            <w:tcW w:type="dxa" w:w="6926"/>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What Will Be Tracked</w:t>
            </w:r>
          </w:p>
        </w:tc>
      </w:tr>
      <w:tr>
        <w:tc>
          <w:tcPr>
            <w:tcW w:type="dxa" w:w="2434"/>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F62FE"/>
                <w:sz w:val="20"/>
                <w:szCs w:val="20"/>
              </w:rPr>
              <w:t xml:space="preserve">Application Ops</w:t>
            </w:r>
          </w:p>
        </w:tc>
        <w:tc>
          <w:tcPr>
            <w:tcW w:type="dxa" w:w="6926"/>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Availability, MTTR, incident volume by severity</w:t>
            </w:r>
          </w:p>
        </w:tc>
      </w:tr>
      <w:tr>
        <w:tc>
          <w:tcPr>
            <w:tcW w:type="dxa" w:w="2434"/>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F62FE"/>
                <w:sz w:val="20"/>
                <w:szCs w:val="20"/>
              </w:rPr>
              <w:t xml:space="preserve">Claims</w:t>
            </w:r>
          </w:p>
        </w:tc>
        <w:tc>
          <w:tcPr>
            <w:tcW w:type="dxa" w:w="6926"/>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Volume, adjudication rate, TAT, denial drivers</w:t>
            </w:r>
          </w:p>
        </w:tc>
      </w:tr>
      <w:tr>
        <w:tc>
          <w:tcPr>
            <w:tcW w:type="dxa" w:w="2434"/>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F62FE"/>
                <w:sz w:val="20"/>
                <w:szCs w:val="20"/>
              </w:rPr>
              <w:t xml:space="preserve">Prior Auth</w:t>
            </w:r>
          </w:p>
        </w:tc>
        <w:tc>
          <w:tcPr>
            <w:tcW w:type="dxa" w:w="6926"/>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Backlog, review SLA, auto-approval rate</w:t>
            </w:r>
          </w:p>
        </w:tc>
      </w:tr>
      <w:tr>
        <w:tc>
          <w:tcPr>
            <w:tcW w:type="dxa" w:w="2434"/>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F62FE"/>
                <w:sz w:val="20"/>
                <w:szCs w:val="20"/>
              </w:rPr>
              <w:t xml:space="preserve">Enrollment</w:t>
            </w:r>
          </w:p>
        </w:tc>
        <w:tc>
          <w:tcPr>
            <w:tcW w:type="dxa" w:w="6926"/>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Time-to-good, auto-match rate, queue health</w:t>
            </w:r>
          </w:p>
        </w:tc>
      </w:tr>
      <w:tr>
        <w:tc>
          <w:tcPr>
            <w:tcW w:type="dxa" w:w="2434"/>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F62FE"/>
                <w:sz w:val="20"/>
                <w:szCs w:val="20"/>
              </w:rPr>
              <w:t xml:space="preserve">Member Services</w:t>
            </w:r>
          </w:p>
        </w:tc>
        <w:tc>
          <w:tcPr>
            <w:tcW w:type="dxa" w:w="6926"/>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ASA, FCR, chatbot containment, digital adoption</w:t>
            </w:r>
          </w:p>
        </w:tc>
      </w:tr>
      <w:tr>
        <w:tc>
          <w:tcPr>
            <w:tcW w:type="dxa" w:w="2434"/>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F62FE"/>
                <w:sz w:val="20"/>
                <w:szCs w:val="20"/>
              </w:rPr>
              <w:t xml:space="preserve">AIOps Value</w:t>
            </w:r>
          </w:p>
        </w:tc>
        <w:tc>
          <w:tcPr>
            <w:tcW w:type="dxa" w:w="6926"/>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Savings YTD, shift-left rate, self-heal events</w:t>
            </w:r>
          </w:p>
        </w:tc>
      </w:tr>
      <w:tr>
        <w:tc>
          <w:tcPr>
            <w:tcW w:type="dxa" w:w="2434"/>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F62FE"/>
                <w:sz w:val="20"/>
                <w:szCs w:val="20"/>
              </w:rPr>
              <w:t xml:space="preserve">Transformation</w:t>
            </w:r>
          </w:p>
        </w:tc>
        <w:tc>
          <w:tcPr>
            <w:tcW w:type="dxa" w:w="6926"/>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Phase progress, milestone risk, initiative velocity</w:t>
            </w:r>
          </w:p>
        </w:tc>
      </w:tr>
    </w:tbl>
    <w:p>
      <w:pPr>
        <w:spacing w:after="80" w:before="0"/>
      </w:pPr>
      <w:r>
        <w:rPr>
          <w:rFonts w:ascii="Calibri" w:cs="Calibri" w:eastAsia="Calibri" w:hAnsi="Calibri"/>
          <w:sz w:val="12"/>
          <w:szCs w:val="12"/>
        </w:rPr>
        <w:t xml:space="preserve"/>
      </w:r>
    </w:p>
    <w:p>
      <w:pPr>
        <w:spacing w:after="80" w:before="200"/>
      </w:pPr>
      <w:r>
        <w:rPr>
          <w:rFonts w:ascii="Calibri" w:cs="Calibri" w:eastAsia="Calibri" w:hAnsi="Calibri"/>
          <w:b/>
          <w:bCs/>
          <w:i w:val="false"/>
          <w:iCs w:val="false"/>
          <w:color w:val="001141"/>
          <w:sz w:val="24"/>
          <w:szCs w:val="24"/>
        </w:rPr>
        <w:t xml:space="preserve">Access &amp; Security</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Role-based access: IBM and Horizon executives.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Token-authenticated sessions with inactivity timeout.</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HIPAA-compliant — no PHI data in the command center.</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Architecture-ready for production data integration.</w:t>
      </w:r>
    </w:p>
    <w:p>
      <w:pPr>
        <w:pageBreakBefore/>
        <w:pBdr>
          <w:top w:val="single" w:color="0F62FE" w:sz="20" w:space="10"/>
        </w:pBdr>
        <w:spacing w:after="80" w:before="0"/>
      </w:pPr>
    </w:p>
    <w:p>
      <w:pPr>
        <w:spacing w:after="60" w:before="0"/>
      </w:pPr>
      <w:r>
        <w:rPr>
          <w:rFonts w:ascii="Calibri" w:cs="Calibri" w:eastAsia="Calibri" w:hAnsi="Calibri"/>
          <w:b/>
          <w:bCs/>
          <w:i w:val="false"/>
          <w:iCs w:val="false"/>
          <w:color w:val="0F62FE"/>
          <w:sz w:val="19"/>
          <w:szCs w:val="19"/>
        </w:rPr>
        <w:t xml:space="preserve">08  </w:t>
      </w:r>
      <w:r>
        <w:rPr>
          <w:rFonts w:ascii="Calibri" w:cs="Calibri" w:eastAsia="Calibri" w:hAnsi="Calibri"/>
          <w:b/>
          <w:bCs/>
          <w:i w:val="false"/>
          <w:iCs w:val="false"/>
          <w:color w:val="001141"/>
          <w:sz w:val="36"/>
          <w:szCs w:val="36"/>
        </w:rPr>
        <w:t xml:space="preserve">Phased Delivery Roadmap</w:t>
      </w:r>
    </w:p>
    <w:p>
      <w:pPr>
        <w:spacing w:after="160" w:before="0"/>
      </w:pPr>
      <w:r>
        <w:rPr>
          <w:rFonts w:ascii="Calibri" w:cs="Calibri" w:eastAsia="Calibri" w:hAnsi="Calibri"/>
          <w:b w:val="false"/>
          <w:bCs w:val="false"/>
          <w:i/>
          <w:iCs/>
          <w:color w:val="8D8D8D"/>
          <w:sz w:val="20"/>
          <w:szCs w:val="20"/>
        </w:rPr>
        <w:t xml:space="preserve">A Structured, Compounding Journey from Stabilization to Autonomous Operations</w:t>
      </w:r>
    </w:p>
    <w:p>
      <w:pPr>
        <w:spacing w:after="80" w:before="0"/>
      </w:pPr>
      <w:r>
        <w:rPr>
          <w:rFonts w:ascii="Calibri" w:cs="Calibri" w:eastAsia="Calibri" w:hAnsi="Calibri"/>
          <w:sz w:val="12"/>
          <w:szCs w:val="12"/>
        </w:rPr>
        <w:t xml:space="preserve"/>
      </w:r>
    </w:p>
    <w:p>
      <w:pPr>
        <w:pBdr>
          <w:left w:val="single" w:color="0F62FE" w:sz="20" w:space="12"/>
        </w:pBdr>
        <w:spacing w:after="40" w:before="60"/>
        <w:ind w:left="576"/>
      </w:pPr>
      <w:r>
        <w:rPr>
          <w:rFonts w:ascii="Calibri" w:cs="Calibri" w:eastAsia="Calibri" w:hAnsi="Calibri"/>
          <w:b w:val="false"/>
          <w:bCs w:val="false"/>
          <w:i/>
          <w:iCs/>
          <w:color w:val="001141"/>
          <w:sz w:val="23"/>
          <w:szCs w:val="23"/>
        </w:rPr>
        <w:t xml:space="preserve">“Every day a claim processes faster, a prior auth returns sooner, or an outage resolves before a provider notices — that is a day Horizon’s members experience the IBM difference. That starts in Week 1, not Year 2.”</w:t>
      </w:r>
    </w:p>
    <w:p>
      <w:pPr>
        <w:spacing w:after="120" w:before="0"/>
        <w:jc w:val="right"/>
      </w:pPr>
      <w:r>
        <w:rPr>
          <w:rFonts w:ascii="Calibri" w:cs="Calibri" w:eastAsia="Calibri" w:hAnsi="Calibri"/>
          <w:b/>
          <w:bCs/>
          <w:i w:val="false"/>
          <w:iCs w:val="false"/>
          <w:color w:val="0F62FE"/>
          <w:sz w:val="18"/>
          <w:szCs w:val="18"/>
        </w:rPr>
        <w:t xml:space="preserve">— IBM Delivery Governance</w:t>
      </w:r>
    </w:p>
    <w:p>
      <w:pPr>
        <w:spacing w:after="100" w:before="0"/>
      </w:pPr>
      <w:r>
        <w:rPr>
          <w:rFonts w:ascii="Calibri" w:cs="Calibri" w:eastAsia="Calibri" w:hAnsi="Calibri"/>
          <w:b w:val="false"/>
          <w:bCs w:val="false"/>
          <w:i w:val="false"/>
          <w:iCs w:val="false"/>
          <w:color w:val="525252"/>
          <w:sz w:val="21"/>
          <w:szCs w:val="21"/>
        </w:rPr>
        <w:t xml:space="preserve">IBM’s proposed transformation follows a structured, phased approach — delivering quick wins in the immediate term while building the foundation for long-term enterprise transformation. Each phase builds on the last, compounding value across the portfolio.</w:t>
      </w:r>
    </w:p>
    <w:p>
      <w:pPr>
        <w:spacing w:after="80" w:before="0"/>
      </w:pPr>
      <w:r>
        <w:rPr>
          <w:rFonts w:ascii="Calibri" w:cs="Calibri" w:eastAsia="Calibri" w:hAnsi="Calibri"/>
          <w:sz w:val="12"/>
          <w:szCs w:val="12"/>
        </w:rPr>
        <w:t xml:space="preserve"/>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gridCol w:w="100"/>
      </w:tblGrid>
      <w:tr>
        <w:tc>
          <w:tcPr>
            <w:tcW w:type="dxa" w:w="1310"/>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Phase</w:t>
            </w:r>
          </w:p>
        </w:tc>
        <w:tc>
          <w:tcPr>
            <w:tcW w:type="dxa" w:w="936"/>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Timeframe</w:t>
            </w:r>
          </w:p>
        </w:tc>
        <w:tc>
          <w:tcPr>
            <w:tcW w:type="dxa" w:w="4306"/>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Key Deliverables</w:t>
            </w:r>
          </w:p>
        </w:tc>
        <w:tc>
          <w:tcPr>
            <w:tcW w:type="dxa" w:w="2808"/>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Value Signal</w:t>
            </w:r>
          </w:p>
        </w:tc>
      </w:tr>
      <w:tr>
        <w:tc>
          <w:tcPr>
            <w:tcW w:type="dxa" w:w="1310"/>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01141"/>
                <w:sz w:val="20"/>
                <w:szCs w:val="20"/>
              </w:rPr>
              <w:t xml:space="preserve">Phase 0
Foundation</w:t>
            </w:r>
          </w:p>
        </w:tc>
        <w:tc>
          <w:tcPr>
            <w:tcW w:type="dxa" w:w="936"/>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8D8D8D"/>
                <w:sz w:val="20"/>
                <w:szCs w:val="20"/>
              </w:rPr>
              <w:t xml:space="preserve">0–8 Wks</w:t>
            </w:r>
          </w:p>
        </w:tc>
        <w:tc>
          <w:tcPr>
            <w:tcW w:type="dxa" w:w="4306"/>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CareOps360 blueprint  ·  AIOps baseline  ·  Transition planning  ·  AI-assisted dev + intelligent QA rollout</w:t>
            </w:r>
          </w:p>
        </w:tc>
        <w:tc>
          <w:tcPr>
            <w:tcW w:type="dxa" w:w="280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F62FE"/>
                <w:sz w:val="20"/>
                <w:szCs w:val="20"/>
              </w:rPr>
              <w:t xml:space="preserve">Live dashboards  ·  Baselines agreed  ·  Zero BAU disruption</w:t>
            </w:r>
          </w:p>
        </w:tc>
      </w:tr>
      <w:tr>
        <w:tc>
          <w:tcPr>
            <w:tcW w:type="dxa" w:w="1310"/>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01141"/>
                <w:sz w:val="20"/>
                <w:szCs w:val="20"/>
              </w:rPr>
              <w:t xml:space="preserve">Phase 1
Ignite</w:t>
            </w:r>
          </w:p>
        </w:tc>
        <w:tc>
          <w:tcPr>
            <w:tcW w:type="dxa" w:w="936"/>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8D8D8D"/>
                <w:sz w:val="20"/>
                <w:szCs w:val="20"/>
              </w:rPr>
              <w:t xml:space="preserve">Mo 1–3</w:t>
            </w:r>
          </w:p>
        </w:tc>
        <w:tc>
          <w:tcPr>
            <w:tcW w:type="dxa" w:w="4306"/>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Integration simplification  ·  AIOps on production  ·  Test automation framework  ·  Innovation Council  ·  GenAI dev lifecycle</w:t>
            </w:r>
          </w:p>
        </w:tc>
        <w:tc>
          <w:tcPr>
            <w:tcW w:type="dxa" w:w="280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F62FE"/>
                <w:sz w:val="20"/>
                <w:szCs w:val="20"/>
              </w:rPr>
              <w:t xml:space="preserve">MTTR −20%  ·  First automation ROI  ·  QE coverage 45%</w:t>
            </w:r>
          </w:p>
        </w:tc>
      </w:tr>
      <w:tr>
        <w:tc>
          <w:tcPr>
            <w:tcW w:type="dxa" w:w="1310"/>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01141"/>
                <w:sz w:val="20"/>
                <w:szCs w:val="20"/>
              </w:rPr>
              <w:t xml:space="preserve">Phase 2
Scale</w:t>
            </w:r>
          </w:p>
        </w:tc>
        <w:tc>
          <w:tcPr>
            <w:tcW w:type="dxa" w:w="936"/>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8D8D8D"/>
                <w:sz w:val="20"/>
                <w:szCs w:val="20"/>
              </w:rPr>
              <w:t xml:space="preserve">Mo 3–6</w:t>
            </w:r>
          </w:p>
        </w:tc>
        <w:tc>
          <w:tcPr>
            <w:tcW w:type="dxa" w:w="4306"/>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Agentic AI incident triage live  ·  Digital Front Door blueprint  ·  COBOL → Java pilot  ·  Mainframe modernization initiated</w:t>
            </w:r>
          </w:p>
        </w:tc>
        <w:tc>
          <w:tcPr>
            <w:tcW w:type="dxa" w:w="280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F62FE"/>
                <w:sz w:val="20"/>
                <w:szCs w:val="20"/>
              </w:rPr>
              <w:t xml:space="preserve">Auto-resolve &gt;50%  ·  Defect escape −40%  ·  $3–5M cumulative</w:t>
            </w:r>
          </w:p>
        </w:tc>
      </w:tr>
      <w:tr>
        <w:tc>
          <w:tcPr>
            <w:tcW w:type="dxa" w:w="1310"/>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01141"/>
                <w:sz w:val="20"/>
                <w:szCs w:val="20"/>
              </w:rPr>
              <w:t xml:space="preserve">Phase 3
Optimize</w:t>
            </w:r>
          </w:p>
        </w:tc>
        <w:tc>
          <w:tcPr>
            <w:tcW w:type="dxa" w:w="936"/>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8D8D8D"/>
                <w:sz w:val="20"/>
                <w:szCs w:val="20"/>
              </w:rPr>
              <w:t xml:space="preserve">Mo 6–12</w:t>
            </w:r>
          </w:p>
        </w:tc>
        <w:tc>
          <w:tcPr>
            <w:tcW w:type="dxa" w:w="4306"/>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Full incident autonomy  ·  Claims adjudication parallel run  ·  Predictive capacity management  ·  QE 80%+</w:t>
            </w:r>
          </w:p>
        </w:tc>
        <w:tc>
          <w:tcPr>
            <w:tcW w:type="dxa" w:w="280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F62FE"/>
                <w:sz w:val="20"/>
                <w:szCs w:val="20"/>
              </w:rPr>
              <w:t xml:space="preserve">Cost takeout $6–10M  ·  MTTR &lt;1.8 hrs  ·  99.9%+ availability</w:t>
            </w:r>
          </w:p>
        </w:tc>
      </w:tr>
      <w:tr>
        <w:tc>
          <w:tcPr>
            <w:tcW w:type="dxa" w:w="1310"/>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01141"/>
                <w:sz w:val="20"/>
                <w:szCs w:val="20"/>
              </w:rPr>
              <w:t xml:space="preserve">Phase 4
Transform</w:t>
            </w:r>
          </w:p>
        </w:tc>
        <w:tc>
          <w:tcPr>
            <w:tcW w:type="dxa" w:w="936"/>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jc w:val="center"/>
            </w:pPr>
            <w:r>
              <w:rPr>
                <w:rFonts w:ascii="Calibri" w:cs="Calibri" w:eastAsia="Calibri" w:hAnsi="Calibri"/>
                <w:b w:val="false"/>
                <w:bCs w:val="false"/>
                <w:i w:val="false"/>
                <w:iCs w:val="false"/>
                <w:color w:val="8D8D8D"/>
                <w:sz w:val="20"/>
                <w:szCs w:val="20"/>
              </w:rPr>
              <w:t xml:space="preserve">Yr 1–2</w:t>
            </w:r>
          </w:p>
        </w:tc>
        <w:tc>
          <w:tcPr>
            <w:tcW w:type="dxa" w:w="4306"/>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Full autonomous P3/P4 operations  ·  Enterprise-wide observability  ·  Mainframe migration complete  ·  Member front door operationalized</w:t>
            </w:r>
          </w:p>
        </w:tc>
        <w:tc>
          <w:tcPr>
            <w:tcW w:type="dxa" w:w="2808"/>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0F62FE"/>
                <w:sz w:val="20"/>
                <w:szCs w:val="20"/>
              </w:rPr>
              <w:t xml:space="preserve">Cost takeout 40–50%  ·  Total value $12–18M+</w:t>
            </w:r>
          </w:p>
        </w:tc>
      </w:tr>
    </w:tbl>
    <w:p>
      <w:pPr>
        <w:spacing w:after="120" w:before="0"/>
      </w:pPr>
      <w:r>
        <w:rPr>
          <w:rFonts w:ascii="Calibri" w:cs="Calibri" w:eastAsia="Calibri" w:hAnsi="Calibri"/>
          <w:sz w:val="12"/>
          <w:szCs w:val="12"/>
        </w:rPr>
        <w:t xml:space="preserve"/>
      </w:r>
    </w:p>
    <w:p>
      <w:pPr>
        <w:spacing w:after="80" w:before="200"/>
      </w:pPr>
      <w:r>
        <w:rPr>
          <w:rFonts w:ascii="Calibri" w:cs="Calibri" w:eastAsia="Calibri" w:hAnsi="Calibri"/>
          <w:b/>
          <w:bCs/>
          <w:i w:val="false"/>
          <w:iCs w:val="false"/>
          <w:color w:val="001141"/>
          <w:sz w:val="24"/>
          <w:szCs w:val="24"/>
        </w:rPr>
        <w:t xml:space="preserve">Governance at Every Phase</w:t>
      </w:r>
    </w:p>
    <w:p>
      <w:pPr>
        <w:spacing w:after="100" w:before="0"/>
      </w:pPr>
      <w:r>
        <w:rPr>
          <w:rFonts w:ascii="Calibri" w:cs="Calibri" w:eastAsia="Calibri" w:hAnsi="Calibri"/>
          <w:b w:val="false"/>
          <w:bCs w:val="false"/>
          <w:i w:val="false"/>
          <w:iCs w:val="false"/>
          <w:color w:val="525252"/>
          <w:sz w:val="21"/>
          <w:szCs w:val="21"/>
        </w:rPr>
        <w:t xml:space="preserve">IBM’s governance model ensures continuous accountability from the operational team to the boardroom. Every metric is live in CareOps360 — no manual reporting, no quarterly surprises.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Executive Steering Committee: Quarterly IBM VP + Horizon CIO/COO review — strategic direction, value realization, and programme health.</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Program Management Office: Monthly health reporting and risk register — every initiative tracked against milestones.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Delivery Operations Reviews: Bi-weekly SLA and incident trends — operational cadence with the teams doing the work.</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Financial Governance: Monthly actuals vs. committed model — cost takeout tracked to the dollar.</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Innovation Council: Quarterly idea pipeline and prioritization — business-case-backed innovation at Horizon’s direction.</w:t>
      </w:r>
    </w:p>
    <w:p>
      <w:pPr>
        <w:spacing w:after="120" w:before="0"/>
      </w:pPr>
      <w:r>
        <w:rPr>
          <w:rFonts w:ascii="Calibri" w:cs="Calibri" w:eastAsia="Calibri" w:hAnsi="Calibri"/>
          <w:sz w:val="12"/>
          <w:szCs w:val="12"/>
        </w:rPr>
        <w:t xml:space="preserve"/>
      </w:r>
    </w:p>
    <w:p>
      <w:pPr>
        <w:spacing w:after="80" w:before="200"/>
      </w:pPr>
      <w:r>
        <w:rPr>
          <w:rFonts w:ascii="Calibri" w:cs="Calibri" w:eastAsia="Calibri" w:hAnsi="Calibri"/>
          <w:b/>
          <w:bCs/>
          <w:i w:val="false"/>
          <w:iCs w:val="false"/>
          <w:color w:val="001141"/>
          <w:sz w:val="24"/>
          <w:szCs w:val="24"/>
        </w:rPr>
        <w:t xml:space="preserve">Transformation Portfolio at a Glance</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60 total initiatives across 3 delivery years — across Payer, Clinical, Digital, and Enterprise domains.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25 Year 1 initiatives — Technical Debt, Digital, Payer — delivering immediate, measurable value.</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15 Active / In-Flight as of programme launch — no ramp-up delay.</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9 milestones completed in foundation phase — demonstrating immediate traction.</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All initiatives tracked live in CareOps360’s Transformation Roadmap dashboard with phase, status, owner, and risk updated in real time.</w:t>
      </w:r>
    </w:p>
    <w:p>
      <w:pPr>
        <w:spacing w:after="80" w:before="0"/>
      </w:pPr>
      <w:r>
        <w:rPr>
          <w:rFonts w:ascii="Calibri" w:cs="Calibri" w:eastAsia="Calibri" w:hAnsi="Calibri"/>
          <w:sz w:val="12"/>
          <w:szCs w:val="12"/>
        </w:rPr>
        <w:t xml:space="preserve"/>
      </w:r>
    </w:p>
    <w:p>
      <w:pPr>
        <w:shd w:fill="EBF2FF" w:val="clear"/>
        <w:spacing w:after="120" w:before="120"/>
        <w:ind w:left="360" w:right="360"/>
      </w:pPr>
      <w:r>
        <w:rPr>
          <w:rFonts w:ascii="Calibri" w:cs="Calibri" w:eastAsia="Calibri" w:hAnsi="Calibri"/>
          <w:b/>
          <w:bCs/>
          <w:i w:val="false"/>
          <w:iCs w:val="false"/>
          <w:color w:val="001141"/>
          <w:sz w:val="21"/>
          <w:szCs w:val="21"/>
        </w:rPr>
        <w:t xml:space="preserve">CareOps360 makes every metric above visible in real time from Day 1. No manual reporting. No quarterly decks. Live data, always.</w:t>
      </w:r>
    </w:p>
    <w:p>
      <w:pPr>
        <w:pageBreakBefore/>
        <w:pBdr>
          <w:top w:val="single" w:color="0F62FE" w:sz="20" w:space="10"/>
        </w:pBdr>
        <w:spacing w:after="80" w:before="0"/>
      </w:pPr>
    </w:p>
    <w:p>
      <w:pPr>
        <w:spacing w:after="60" w:before="0"/>
      </w:pPr>
      <w:r>
        <w:rPr>
          <w:rFonts w:ascii="Calibri" w:cs="Calibri" w:eastAsia="Calibri" w:hAnsi="Calibri"/>
          <w:b/>
          <w:bCs/>
          <w:i w:val="false"/>
          <w:iCs w:val="false"/>
          <w:color w:val="0F62FE"/>
          <w:sz w:val="19"/>
          <w:szCs w:val="19"/>
        </w:rPr>
        <w:t xml:space="preserve">09  </w:t>
      </w:r>
      <w:r>
        <w:rPr>
          <w:rFonts w:ascii="Calibri" w:cs="Calibri" w:eastAsia="Calibri" w:hAnsi="Calibri"/>
          <w:b/>
          <w:bCs/>
          <w:i w:val="false"/>
          <w:iCs w:val="false"/>
          <w:color w:val="001141"/>
          <w:sz w:val="36"/>
          <w:szCs w:val="36"/>
        </w:rPr>
        <w:t xml:space="preserve">Transformation Opportunities</w:t>
      </w:r>
    </w:p>
    <w:p>
      <w:pPr>
        <w:spacing w:after="160" w:before="0"/>
      </w:pPr>
      <w:r>
        <w:rPr>
          <w:rFonts w:ascii="Calibri" w:cs="Calibri" w:eastAsia="Calibri" w:hAnsi="Calibri"/>
          <w:b w:val="false"/>
          <w:bCs w:val="false"/>
          <w:i/>
          <w:iCs/>
          <w:color w:val="8D8D8D"/>
          <w:sz w:val="20"/>
          <w:szCs w:val="20"/>
        </w:rPr>
        <w:t xml:space="preserve">Platform Modernization, Mainframe Migration &amp; Technical Debt Governance</w:t>
      </w:r>
    </w:p>
    <w:p>
      <w:pPr>
        <w:spacing w:after="80" w:before="0"/>
      </w:pPr>
      <w:r>
        <w:rPr>
          <w:rFonts w:ascii="Calibri" w:cs="Calibri" w:eastAsia="Calibri" w:hAnsi="Calibri"/>
          <w:sz w:val="12"/>
          <w:szCs w:val="12"/>
        </w:rPr>
        <w:t xml:space="preserve"/>
      </w:r>
    </w:p>
    <w:p>
      <w:pPr>
        <w:pBdr>
          <w:left w:val="single" w:color="0F62FE" w:sz="20" w:space="12"/>
        </w:pBdr>
        <w:spacing w:after="40" w:before="60"/>
        <w:ind w:left="576"/>
      </w:pPr>
      <w:r>
        <w:rPr>
          <w:rFonts w:ascii="Calibri" w:cs="Calibri" w:eastAsia="Calibri" w:hAnsi="Calibri"/>
          <w:b w:val="false"/>
          <w:bCs w:val="false"/>
          <w:i/>
          <w:iCs/>
          <w:color w:val="001141"/>
          <w:sz w:val="23"/>
          <w:szCs w:val="23"/>
        </w:rPr>
        <w:t xml:space="preserve">“A provider should never have to wait because a batch integration only runs overnight. A member should never be denied because an eligibility rule is trapped in a mainframe subroutine from 1997. Modernization is not a technology programme — it is a member experience programme.”</w:t>
      </w:r>
    </w:p>
    <w:p>
      <w:pPr>
        <w:spacing w:after="120" w:before="0"/>
        <w:jc w:val="right"/>
      </w:pPr>
      <w:r>
        <w:rPr>
          <w:rFonts w:ascii="Calibri" w:cs="Calibri" w:eastAsia="Calibri" w:hAnsi="Calibri"/>
          <w:b/>
          <w:bCs/>
          <w:i w:val="false"/>
          <w:iCs w:val="false"/>
          <w:color w:val="0F62FE"/>
          <w:sz w:val="18"/>
          <w:szCs w:val="18"/>
        </w:rPr>
        <w:t xml:space="preserve">— IBM Platform Modernization</w:t>
      </w:r>
    </w:p>
    <w:p>
      <w:pPr>
        <w:spacing w:after="80" w:before="200"/>
      </w:pPr>
      <w:r>
        <w:rPr>
          <w:rFonts w:ascii="Calibri" w:cs="Calibri" w:eastAsia="Calibri" w:hAnsi="Calibri"/>
          <w:b/>
          <w:bCs/>
          <w:i w:val="false"/>
          <w:iCs w:val="false"/>
          <w:color w:val="001141"/>
          <w:sz w:val="24"/>
          <w:szCs w:val="24"/>
        </w:rPr>
        <w:t xml:space="preserve">Integration Modernization — Real-Time, Cloud-Native</w:t>
      </w:r>
    </w:p>
    <w:p>
      <w:pPr>
        <w:spacing w:after="100" w:before="0"/>
      </w:pPr>
      <w:r>
        <w:rPr>
          <w:rFonts w:ascii="Calibri" w:cs="Calibri" w:eastAsia="Calibri" w:hAnsi="Calibri"/>
          <w:b w:val="false"/>
          <w:bCs w:val="false"/>
          <w:i w:val="false"/>
          <w:iCs w:val="false"/>
          <w:color w:val="525252"/>
          <w:sz w:val="21"/>
          <w:szCs w:val="21"/>
        </w:rPr>
        <w:t xml:space="preserve">IBM’s Integration Modernization programme transforms Horizon’s data exchange backbone from point-to-point batch processes to a cloud-native, event-driven, real-time integration architecture — enabling claims, eligibility, provider, and member data to flow continuously across systems without overnight lag. When a member’s eligibility changes at 3 PM, every downstream system reflects it at 3:01 PM — not 6 AM the next day.</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MOM API-First Hub (HLGN-1053) — Transform Horizon’s Messaging-Oriented Middleware from point-to-point topology to an API-first enterprise integration hub — enabling real-time, event-driven partner data exchange across claims, eligibility, and provider domains.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Event Streaming Architecture — Replace batch ETL with Apache Kafka-based event streaming on AWS MSK — delivering sub-second data freshness across enrollment, claims, and provider systems.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API Gateway Consolidation — Unified API gateway via AWS API Gateway + IBM API Connect — replacing 70+ point-to-point integrations with governed, observable, versioned APIs.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ODM Cloud-Native (HLGN-1054) — Migrate IBM ODM Decision Center from on-premises to containerized cloud environment, enabling real-time business rule evaluation and business-user-configurable workflows.</w:t>
      </w:r>
    </w:p>
    <w:p>
      <w:pPr>
        <w:spacing w:after="80" w:before="200"/>
      </w:pPr>
      <w:r>
        <w:rPr>
          <w:rFonts w:ascii="Calibri" w:cs="Calibri" w:eastAsia="Calibri" w:hAnsi="Calibri"/>
          <w:b/>
          <w:bCs/>
          <w:i w:val="false"/>
          <w:iCs w:val="false"/>
          <w:color w:val="001141"/>
          <w:sz w:val="24"/>
          <w:szCs w:val="24"/>
        </w:rPr>
        <w:t xml:space="preserve">Application Rationalization</w:t>
      </w:r>
    </w:p>
    <w:p>
      <w:pPr>
        <w:spacing w:after="100" w:before="0"/>
      </w:pPr>
      <w:r>
        <w:rPr>
          <w:rFonts w:ascii="Calibri" w:cs="Calibri" w:eastAsia="Calibri" w:hAnsi="Calibri"/>
          <w:b w:val="false"/>
          <w:bCs w:val="false"/>
          <w:i w:val="false"/>
          <w:iCs w:val="false"/>
          <w:color w:val="525252"/>
          <w:sz w:val="21"/>
          <w:szCs w:val="21"/>
        </w:rPr>
        <w:t xml:space="preserve">IBM will conduct a structured assessment of Horizon’s ~1,000 application portfolio using Texture and IBM accelerators like ICCA — identifying candidates for decommission, consolidation, cloud migration, or AI-augmented modernization. Every application is catalogued, scored for business criticality, and assigned a modernization path. Redundant applications are consolidated. End-of-life platforms are replaced. The portfolio becomes leaner, faster, and cheaper to operate.</w:t>
      </w:r>
    </w:p>
    <w:p>
      <w:pPr>
        <w:spacing w:after="80" w:before="200"/>
      </w:pPr>
      <w:r>
        <w:rPr>
          <w:rFonts w:ascii="Calibri" w:cs="Calibri" w:eastAsia="Calibri" w:hAnsi="Calibri"/>
          <w:b/>
          <w:bCs/>
          <w:i w:val="false"/>
          <w:iCs w:val="false"/>
          <w:color w:val="001141"/>
          <w:sz w:val="24"/>
          <w:szCs w:val="24"/>
        </w:rPr>
        <w:t xml:space="preserve">Mainframe Modernization Roadmap</w:t>
      </w:r>
    </w:p>
    <w:p>
      <w:pPr>
        <w:spacing w:after="100" w:before="0"/>
      </w:pPr>
      <w:r>
        <w:rPr>
          <w:rFonts w:ascii="Calibri" w:cs="Calibri" w:eastAsia="Calibri" w:hAnsi="Calibri"/>
          <w:b w:val="false"/>
          <w:bCs w:val="false"/>
          <w:i w:val="false"/>
          <w:iCs w:val="false"/>
          <w:color w:val="525252"/>
          <w:sz w:val="21"/>
          <w:szCs w:val="21"/>
        </w:rPr>
        <w:t xml:space="preserve">Horizon’s mainframe hosts critical batch processing, eligibility logic, and financial settlement. IBM understands that modernizing this estate is not merely a technical programme — it is a strategic risk management exercise that must be executed with surgical precision. IBM proposes a phased, parallel-run migration approach:</w:t>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tblGrid>
      <w:tr>
        <w:tc>
          <w:tcPr>
            <w:tcW w:type="dxa" w:w="2621"/>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Workstream</w:t>
            </w:r>
          </w:p>
        </w:tc>
        <w:tc>
          <w:tcPr>
            <w:tcW w:type="dxa" w:w="4118"/>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Approach</w:t>
            </w:r>
          </w:p>
        </w:tc>
        <w:tc>
          <w:tcPr>
            <w:tcW w:type="dxa" w:w="2621"/>
            <w:tcBorders>
              <w:top w:val="single" w:color="0F62FE" w:sz="14"/>
              <w:left w:val="single" w:color="E0E0E0" w:sz="4"/>
              <w:bottom w:val="single" w:color="E0E0E0" w:sz="6"/>
              <w:right w:val="single" w:color="E0E0E0" w:sz="4"/>
            </w:tcBorders>
            <w:shd w:fill="D0E2FF" w:val="clear"/>
            <w:tcMar>
              <w:top w:type="dxa" w:w="60"/>
              <w:left w:type="dxa" w:w="160"/>
              <w:bottom w:type="dxa" w:w="60"/>
              <w:right w:type="dxa" w:w="160"/>
            </w:tcMar>
            <w:vAlign w:val="center"/>
          </w:tcPr>
          <w:p>
            <w:pPr>
              <w:spacing w:after="60" w:before="60"/>
            </w:pPr>
            <w:r>
              <w:rPr>
                <w:rFonts w:ascii="Calibri" w:cs="Calibri" w:eastAsia="Calibri" w:hAnsi="Calibri"/>
                <w:b/>
                <w:bCs/>
                <w:i w:val="false"/>
                <w:iCs w:val="false"/>
                <w:color w:val="001141"/>
                <w:sz w:val="20"/>
                <w:szCs w:val="20"/>
              </w:rPr>
              <w:t xml:space="preserve">Timeline</w:t>
            </w:r>
          </w:p>
        </w:tc>
      </w:tr>
      <w:tr>
        <w:tc>
          <w:tcPr>
            <w:tcW w:type="dxa" w:w="2621"/>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Eligibility Processing</w:t>
            </w:r>
          </w:p>
        </w:tc>
        <w:tc>
          <w:tcPr>
            <w:tcW w:type="dxa" w:w="4118"/>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API-wrap → Cloud rehost</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Q2–Q4 2026</w:t>
            </w:r>
          </w:p>
        </w:tc>
      </w:tr>
      <w:tr>
        <w:tc>
          <w:tcPr>
            <w:tcW w:type="dxa" w:w="2621"/>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COBOL → Java Pilot</w:t>
            </w:r>
          </w:p>
        </w:tc>
        <w:tc>
          <w:tcPr>
            <w:tcW w:type="dxa" w:w="4118"/>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AI-assisted code conversion</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Q3 2026</w:t>
            </w:r>
          </w:p>
        </w:tc>
      </w:tr>
      <w:tr>
        <w:tc>
          <w:tcPr>
            <w:tcW w:type="dxa" w:w="2621"/>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Unified Payments</w:t>
            </w:r>
          </w:p>
        </w:tc>
        <w:tc>
          <w:tcPr>
            <w:tcW w:type="dxa" w:w="4118"/>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AWS modernization</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Q3 2026</w:t>
            </w:r>
          </w:p>
        </w:tc>
      </w:tr>
      <w:tr>
        <w:tc>
          <w:tcPr>
            <w:tcW w:type="dxa" w:w="2621"/>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Claims Engine</w:t>
            </w:r>
          </w:p>
        </w:tc>
        <w:tc>
          <w:tcPr>
            <w:tcW w:type="dxa" w:w="4118"/>
            <w:tcBorders>
              <w:top w:val="single" w:color="E0E0E0" w:sz="4"/>
              <w:left w:val="single" w:color="E0E0E0" w:sz="4"/>
              <w:bottom w:val="single" w:color="E0E0E0" w:sz="4"/>
              <w:right w:val="single" w:color="E0E0E0" w:sz="4"/>
            </w:tcBorders>
            <w:shd w:fill="F4F4F4"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Parallel-run cutover</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Q1–Q2 2027</w:t>
            </w:r>
          </w:p>
        </w:tc>
      </w:tr>
      <w:tr>
        <w:tc>
          <w:tcPr>
            <w:tcW w:type="dxa" w:w="2621"/>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bCs/>
                <w:i w:val="false"/>
                <w:iCs w:val="false"/>
                <w:color w:val="161616"/>
                <w:sz w:val="20"/>
                <w:szCs w:val="20"/>
              </w:rPr>
              <w:t xml:space="preserve">Member Data Services</w:t>
            </w:r>
          </w:p>
        </w:tc>
        <w:tc>
          <w:tcPr>
            <w:tcW w:type="dxa" w:w="4118"/>
            <w:tcBorders>
              <w:top w:val="single" w:color="E0E0E0" w:sz="4"/>
              <w:left w:val="single" w:color="E0E0E0" w:sz="4"/>
              <w:bottom w:val="single" w:color="E0E0E0" w:sz="4"/>
              <w:right w:val="single" w:color="E0E0E0" w:sz="4"/>
            </w:tcBorders>
            <w:shd w:fill="FFFFFF" w:val="clear"/>
            <w:tcMar>
              <w:top w:type="dxa" w:w="60"/>
              <w:left w:type="dxa" w:w="160"/>
              <w:bottom w:type="dxa" w:w="60"/>
              <w:right w:type="dxa" w:w="160"/>
            </w:tcMar>
            <w:vAlign w:val="center"/>
          </w:tcPr>
          <w:p>
            <w:pPr>
              <w:spacing w:after="40" w:before="40"/>
            </w:pPr>
            <w:r>
              <w:rPr>
                <w:rFonts w:ascii="Calibri" w:cs="Calibri" w:eastAsia="Calibri" w:hAnsi="Calibri"/>
                <w:b w:val="false"/>
                <w:bCs w:val="false"/>
                <w:i w:val="false"/>
                <w:iCs w:val="false"/>
                <w:color w:val="525252"/>
                <w:sz w:val="20"/>
                <w:szCs w:val="20"/>
              </w:rPr>
              <w:t xml:space="preserve">Event-driven migration</w:t>
            </w:r>
          </w:p>
        </w:tc>
        <w:tc>
          <w:tcPr>
            <w:tcW w:type="dxa" w:w="2621"/>
            <w:tcBorders>
              <w:top w:val="single" w:color="E0E0E0" w:sz="4"/>
              <w:left w:val="single" w:color="E0E0E0" w:sz="4"/>
              <w:bottom w:val="single" w:color="E0E0E0" w:sz="4"/>
              <w:right w:val="single" w:color="E0E0E0" w:sz="4"/>
            </w:tcBorders>
            <w:shd w:fill="EBF2FF" w:val="clear"/>
            <w:tcMar>
              <w:top w:type="dxa" w:w="60"/>
              <w:left w:type="dxa" w:w="160"/>
              <w:bottom w:type="dxa" w:w="60"/>
              <w:right w:type="dxa" w:w="160"/>
            </w:tcMar>
            <w:vAlign w:val="center"/>
          </w:tcPr>
          <w:p>
            <w:pPr>
              <w:spacing w:after="40" w:before="40"/>
              <w:jc w:val="center"/>
            </w:pPr>
            <w:r>
              <w:rPr>
                <w:rFonts w:ascii="Calibri" w:cs="Calibri" w:eastAsia="Calibri" w:hAnsi="Calibri"/>
                <w:b/>
                <w:bCs/>
                <w:i w:val="false"/>
                <w:iCs w:val="false"/>
                <w:color w:val="0F62FE"/>
                <w:sz w:val="20"/>
                <w:szCs w:val="20"/>
              </w:rPr>
              <w:t xml:space="preserve">Q4 2026+</w:t>
            </w:r>
          </w:p>
        </w:tc>
      </w:tr>
    </w:tbl>
    <w:p>
      <w:pPr>
        <w:spacing w:after="80" w:before="200"/>
      </w:pPr>
      <w:r>
        <w:rPr>
          <w:rFonts w:ascii="Calibri" w:cs="Calibri" w:eastAsia="Calibri" w:hAnsi="Calibri"/>
          <w:b/>
          <w:bCs/>
          <w:i w:val="false"/>
          <w:iCs w:val="false"/>
          <w:color w:val="001141"/>
          <w:sz w:val="24"/>
          <w:szCs w:val="24"/>
        </w:rPr>
        <w:t xml:space="preserve">Technical Debt Governance — n−1/n−2 Version Standard</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IBM commits to maintaining all Horizon stacks at n−1 (one version behind latest LTS) — balancing security currency with stability.</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Quarterly version review cadence: IBM + Horizon ARB jointly assess all frameworks, runtimes, and vendor platforms.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n−1 compliance report delivered monthly to Horizon CTO: stacks at EOL risk, CVE exposure, and upgrade progress.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Priority-1 CVEs receive emergency patch within 72 hours regardless of n−1 cadence.</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2026 Year 1: 25 platform upgrades in flight (Angular 17, .NET 8, ODM 9.2, SAP BO 4.3).</w:t>
      </w:r>
    </w:p>
    <w:p>
      <w:pPr>
        <w:spacing w:after="160" w:before="0"/>
      </w:pPr>
      <w:r>
        <w:rPr>
          <w:rFonts w:ascii="Calibri" w:cs="Calibri" w:eastAsia="Calibri" w:hAnsi="Calibri"/>
          <w:sz w:val="12"/>
          <w:szCs w:val="12"/>
        </w:rPr>
        <w:t xml:space="preserve"/>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gridCol w:w="100"/>
      </w:tblGrid>
      <w:tr>
        <w:tc>
          <w:tcPr>
            <w:tcW w:type="dxa" w:w="2340"/>
            <w:tcBorders>
              <w:top w:val="single" w:color="0F62FE"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F62FE"/>
                <w:sz w:val="56"/>
                <w:szCs w:val="56"/>
              </w:rPr>
              <w:t xml:space="preserve">~1,000</w:t>
            </w:r>
          </w:p>
          <w:p>
            <w:pPr>
              <w:spacing w:after="160" w:before="0"/>
              <w:jc w:val="center"/>
            </w:pPr>
            <w:r>
              <w:rPr>
                <w:rFonts w:ascii="Calibri" w:cs="Calibri" w:eastAsia="Calibri" w:hAnsi="Calibri"/>
                <w:b/>
                <w:bCs/>
                <w:i w:val="false"/>
                <w:iCs w:val="false"/>
                <w:color w:val="001141"/>
                <w:sz w:val="19"/>
                <w:szCs w:val="19"/>
              </w:rPr>
              <w:t xml:space="preserve">Applications Assessed</w:t>
            </w:r>
          </w:p>
        </w:tc>
        <w:tc>
          <w:tcPr>
            <w:tcW w:type="dxa" w:w="2340"/>
            <w:tcBorders>
              <w:top w:val="single" w:color="0043CE"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043CE"/>
                <w:sz w:val="56"/>
                <w:szCs w:val="56"/>
              </w:rPr>
              <w:t xml:space="preserve">COBOL→Java</w:t>
            </w:r>
          </w:p>
          <w:p>
            <w:pPr>
              <w:spacing w:after="160" w:before="0"/>
              <w:jc w:val="center"/>
            </w:pPr>
            <w:r>
              <w:rPr>
                <w:rFonts w:ascii="Calibri" w:cs="Calibri" w:eastAsia="Calibri" w:hAnsi="Calibri"/>
                <w:b/>
                <w:bCs/>
                <w:i w:val="false"/>
                <w:iCs w:val="false"/>
                <w:color w:val="001141"/>
                <w:sz w:val="19"/>
                <w:szCs w:val="19"/>
              </w:rPr>
              <w:t xml:space="preserve">AI-Assisted Conversion</w:t>
            </w:r>
          </w:p>
        </w:tc>
        <w:tc>
          <w:tcPr>
            <w:tcW w:type="dxa" w:w="2340"/>
            <w:tcBorders>
              <w:top w:val="single" w:color="007D79"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07D79"/>
                <w:sz w:val="56"/>
                <w:szCs w:val="56"/>
              </w:rPr>
              <w:t xml:space="preserve">n−1/2</w:t>
            </w:r>
          </w:p>
          <w:p>
            <w:pPr>
              <w:spacing w:after="160" w:before="0"/>
              <w:jc w:val="center"/>
            </w:pPr>
            <w:r>
              <w:rPr>
                <w:rFonts w:ascii="Calibri" w:cs="Calibri" w:eastAsia="Calibri" w:hAnsi="Calibri"/>
                <w:b/>
                <w:bCs/>
                <w:i w:val="false"/>
                <w:iCs w:val="false"/>
                <w:color w:val="001141"/>
                <w:sz w:val="19"/>
                <w:szCs w:val="19"/>
              </w:rPr>
              <w:t xml:space="preserve">Stack Version Governance</w:t>
            </w:r>
          </w:p>
        </w:tc>
        <w:tc>
          <w:tcPr>
            <w:tcW w:type="dxa" w:w="2340"/>
            <w:tcBorders>
              <w:top w:val="single" w:color="6929C4"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6929C4"/>
                <w:sz w:val="56"/>
                <w:szCs w:val="56"/>
              </w:rPr>
              <w:t xml:space="preserve">Zero</w:t>
            </w:r>
          </w:p>
          <w:p>
            <w:pPr>
              <w:spacing w:after="160" w:before="0"/>
              <w:jc w:val="center"/>
            </w:pPr>
            <w:r>
              <w:rPr>
                <w:rFonts w:ascii="Calibri" w:cs="Calibri" w:eastAsia="Calibri" w:hAnsi="Calibri"/>
                <w:b/>
                <w:bCs/>
                <w:i w:val="false"/>
                <w:iCs w:val="false"/>
                <w:color w:val="001141"/>
                <w:sz w:val="19"/>
                <w:szCs w:val="19"/>
              </w:rPr>
              <w:t xml:space="preserve">Disruption Commitment</w:t>
            </w:r>
          </w:p>
        </w:tc>
      </w:tr>
    </w:tbl>
    <w:p>
      <w:pPr>
        <w:pageBreakBefore/>
        <w:pBdr>
          <w:top w:val="single" w:color="0F62FE" w:sz="20" w:space="10"/>
        </w:pBdr>
        <w:spacing w:after="80" w:before="0"/>
      </w:pPr>
    </w:p>
    <w:p>
      <w:pPr>
        <w:spacing w:after="60" w:before="0"/>
      </w:pPr>
      <w:r>
        <w:rPr>
          <w:rFonts w:ascii="Calibri" w:cs="Calibri" w:eastAsia="Calibri" w:hAnsi="Calibri"/>
          <w:b/>
          <w:bCs/>
          <w:i w:val="false"/>
          <w:iCs w:val="false"/>
          <w:color w:val="0F62FE"/>
          <w:sz w:val="19"/>
          <w:szCs w:val="19"/>
        </w:rPr>
        <w:t xml:space="preserve">10  </w:t>
      </w:r>
      <w:r>
        <w:rPr>
          <w:rFonts w:ascii="Calibri" w:cs="Calibri" w:eastAsia="Calibri" w:hAnsi="Calibri"/>
          <w:b/>
          <w:bCs/>
          <w:i w:val="false"/>
          <w:iCs w:val="false"/>
          <w:color w:val="001141"/>
          <w:sz w:val="36"/>
          <w:szCs w:val="36"/>
        </w:rPr>
        <w:t xml:space="preserve">Why IBM — and Why Now</w:t>
      </w:r>
    </w:p>
    <w:p>
      <w:pPr>
        <w:spacing w:after="160" w:before="0"/>
      </w:pPr>
      <w:r>
        <w:rPr>
          <w:rFonts w:ascii="Calibri" w:cs="Calibri" w:eastAsia="Calibri" w:hAnsi="Calibri"/>
          <w:b w:val="false"/>
          <w:bCs w:val="false"/>
          <w:i/>
          <w:iCs/>
          <w:color w:val="8D8D8D"/>
          <w:sz w:val="20"/>
          <w:szCs w:val="20"/>
        </w:rPr>
        <w:t xml:space="preserve">Scale, Depth, Skin in the Game &amp; Next Steps</w:t>
      </w:r>
    </w:p>
    <w:p>
      <w:pPr>
        <w:spacing w:after="80" w:before="0"/>
      </w:pPr>
      <w:r>
        <w:rPr>
          <w:rFonts w:ascii="Calibri" w:cs="Calibri" w:eastAsia="Calibri" w:hAnsi="Calibri"/>
          <w:sz w:val="12"/>
          <w:szCs w:val="12"/>
        </w:rPr>
        <w:t xml:space="preserve"/>
      </w:r>
    </w:p>
    <w:p>
      <w:pPr>
        <w:pBdr>
          <w:left w:val="single" w:color="0F62FE" w:sz="20" w:space="12"/>
        </w:pBdr>
        <w:spacing w:after="40" w:before="60"/>
        <w:ind w:left="576"/>
      </w:pPr>
      <w:r>
        <w:rPr>
          <w:rFonts w:ascii="Calibri" w:cs="Calibri" w:eastAsia="Calibri" w:hAnsi="Calibri"/>
          <w:b w:val="false"/>
          <w:bCs w:val="false"/>
          <w:i/>
          <w:iCs/>
          <w:color w:val="001141"/>
          <w:sz w:val="23"/>
          <w:szCs w:val="23"/>
        </w:rPr>
        <w:t xml:space="preserve">“IBM’s ultimate accountability is not to a contract — it is to the 3.7 million members who rely on Horizon’s systems every day. The patient waiting for a prior auth. The provider navigating a claims dispute. The family enrolling for the first time. Those are IBM’s stakeholders.”</w:t>
      </w:r>
    </w:p>
    <w:p>
      <w:pPr>
        <w:spacing w:after="120" w:before="0"/>
        <w:jc w:val="right"/>
      </w:pPr>
      <w:r>
        <w:rPr>
          <w:rFonts w:ascii="Calibri" w:cs="Calibri" w:eastAsia="Calibri" w:hAnsi="Calibri"/>
          <w:b/>
          <w:bCs/>
          <w:i w:val="false"/>
          <w:iCs w:val="false"/>
          <w:color w:val="0F62FE"/>
          <w:sz w:val="18"/>
          <w:szCs w:val="18"/>
        </w:rPr>
        <w:t xml:space="preserve">— IBM Consulting, Healthcare &amp; Payer Delivery</w:t>
      </w:r>
    </w:p>
    <w:p>
      <w:pPr>
        <w:spacing w:after="80" w:before="200"/>
      </w:pPr>
      <w:r>
        <w:rPr>
          <w:rFonts w:ascii="Calibri" w:cs="Calibri" w:eastAsia="Calibri" w:hAnsi="Calibri"/>
          <w:b/>
          <w:bCs/>
          <w:i w:val="false"/>
          <w:iCs w:val="false"/>
          <w:color w:val="001141"/>
          <w:sz w:val="24"/>
          <w:szCs w:val="24"/>
        </w:rPr>
        <w:t xml:space="preserve">Enterprise Transformation, Not Just IT</w:t>
      </w:r>
    </w:p>
    <w:p>
      <w:pPr>
        <w:spacing w:after="100" w:before="0"/>
      </w:pPr>
      <w:r>
        <w:rPr>
          <w:rFonts w:ascii="Calibri" w:cs="Calibri" w:eastAsia="Calibri" w:hAnsi="Calibri"/>
          <w:b w:val="false"/>
          <w:bCs w:val="false"/>
          <w:i w:val="false"/>
          <w:iCs w:val="false"/>
          <w:color w:val="525252"/>
          <w:sz w:val="21"/>
          <w:szCs w:val="21"/>
        </w:rPr>
        <w:t xml:space="preserve">IBM’s proposal delivers unified transformation across Operations, Development, and Quality Engineering — not siloed initiatives that optimize one tower while creating drag in another. IBM’s delivery philosophy — AI-Embedded Operations, Scalable Architecture, and Outcome-Based Engagement — ensures that every IBM investment compounds Horizon’s capability, not IBM’s margin.</w:t>
      </w:r>
    </w:p>
    <w:p>
      <w:pPr>
        <w:spacing w:after="80" w:before="200"/>
      </w:pPr>
      <w:r>
        <w:rPr>
          <w:rFonts w:ascii="Calibri" w:cs="Calibri" w:eastAsia="Calibri" w:hAnsi="Calibri"/>
          <w:b/>
          <w:bCs/>
          <w:i w:val="false"/>
          <w:iCs w:val="false"/>
          <w:color w:val="001141"/>
          <w:sz w:val="24"/>
          <w:szCs w:val="24"/>
        </w:rPr>
        <w:t xml:space="preserve">What Differentiates IBM</w:t>
      </w:r>
    </w:p>
    <w:p>
      <w:pPr>
        <w:spacing w:after="40" w:before="120"/>
      </w:pPr>
      <w:r>
        <w:rPr>
          <w:rFonts w:ascii="Calibri" w:cs="Calibri" w:eastAsia="Calibri" w:hAnsi="Calibri"/>
          <w:b/>
          <w:bCs/>
          <w:i w:val="false"/>
          <w:iCs w:val="false"/>
          <w:color w:val="0F62FE"/>
          <w:sz w:val="21"/>
          <w:szCs w:val="21"/>
        </w:rPr>
        <w:t xml:space="preserve">Skin in the Game</w:t>
      </w:r>
    </w:p>
    <w:p>
      <w:pPr>
        <w:spacing w:after="100" w:before="0"/>
      </w:pPr>
      <w:r>
        <w:rPr>
          <w:rFonts w:ascii="Calibri" w:cs="Calibri" w:eastAsia="Calibri" w:hAnsi="Calibri"/>
          <w:b w:val="false"/>
          <w:bCs w:val="false"/>
          <w:i w:val="false"/>
          <w:iCs w:val="false"/>
          <w:color w:val="525252"/>
          <w:sz w:val="21"/>
          <w:szCs w:val="21"/>
        </w:rPr>
        <w:t xml:space="preserve">Outcome-based engagement with IBM’s full capability depth behind every phase — IBM’s success is tied directly to Horizon’s outcomes. Targets missed trigger IBM remediation plans — not contract renegotiations or rate discussions. IBM carries the delivery risk.</w:t>
      </w:r>
    </w:p>
    <w:p>
      <w:pPr>
        <w:spacing w:after="40" w:before="120"/>
      </w:pPr>
      <w:r>
        <w:rPr>
          <w:rFonts w:ascii="Calibri" w:cs="Calibri" w:eastAsia="Calibri" w:hAnsi="Calibri"/>
          <w:b/>
          <w:bCs/>
          <w:i w:val="false"/>
          <w:iCs w:val="false"/>
          <w:color w:val="0F62FE"/>
          <w:sz w:val="21"/>
          <w:szCs w:val="21"/>
        </w:rPr>
        <w:t xml:space="preserve">AI at Depth, Not at Surface</w:t>
      </w:r>
    </w:p>
    <w:p>
      <w:pPr>
        <w:spacing w:after="100" w:before="0"/>
      </w:pPr>
      <w:r>
        <w:rPr>
          <w:rFonts w:ascii="Calibri" w:cs="Calibri" w:eastAsia="Calibri" w:hAnsi="Calibri"/>
          <w:b w:val="false"/>
          <w:bCs w:val="false"/>
          <w:i w:val="false"/>
          <w:iCs w:val="false"/>
          <w:color w:val="525252"/>
          <w:sz w:val="21"/>
          <w:szCs w:val="21"/>
        </w:rPr>
        <w:t xml:space="preserve">IBM’s Agentic AI, Generative AI, and AIOps capabilities are production-proven across healthcare and financial services — not proof-of-concept. Live at comparable payers today. Horizon benefits from Day 1, not after a 12-month buildout.</w:t>
      </w:r>
    </w:p>
    <w:p>
      <w:pPr>
        <w:spacing w:after="40" w:before="120"/>
      </w:pPr>
      <w:r>
        <w:rPr>
          <w:rFonts w:ascii="Calibri" w:cs="Calibri" w:eastAsia="Calibri" w:hAnsi="Calibri"/>
          <w:b/>
          <w:bCs/>
          <w:i w:val="false"/>
          <w:iCs w:val="false"/>
          <w:color w:val="0F62FE"/>
          <w:sz w:val="21"/>
          <w:szCs w:val="21"/>
        </w:rPr>
        <w:t xml:space="preserve">IBM Consulting Advantage</w:t>
      </w:r>
    </w:p>
    <w:p>
      <w:pPr>
        <w:spacing w:after="100" w:before="0"/>
      </w:pPr>
      <w:r>
        <w:rPr>
          <w:rFonts w:ascii="Calibri" w:cs="Calibri" w:eastAsia="Calibri" w:hAnsi="Calibri"/>
          <w:b w:val="false"/>
          <w:bCs w:val="false"/>
          <w:i w:val="false"/>
          <w:iCs w:val="false"/>
          <w:color w:val="525252"/>
          <w:sz w:val="21"/>
          <w:szCs w:val="21"/>
        </w:rPr>
        <w:t xml:space="preserve">Horizon realises accelerated value through IBM Consulting’s portfolio of 6,500+ assets and accelerators, strategic initiatives including IBM Build on Bedrock (BOB). These are production-tested assets, not templates.</w:t>
      </w:r>
    </w:p>
    <w:p>
      <w:pPr>
        <w:spacing w:after="40" w:before="120"/>
      </w:pPr>
      <w:r>
        <w:rPr>
          <w:rFonts w:ascii="Calibri" w:cs="Calibri" w:eastAsia="Calibri" w:hAnsi="Calibri"/>
          <w:b/>
          <w:bCs/>
          <w:i w:val="false"/>
          <w:iCs w:val="false"/>
          <w:color w:val="0F62FE"/>
          <w:sz w:val="21"/>
          <w:szCs w:val="21"/>
        </w:rPr>
        <w:t xml:space="preserve">Transformation Office</w:t>
      </w:r>
    </w:p>
    <w:p>
      <w:pPr>
        <w:spacing w:after="100" w:before="0"/>
      </w:pPr>
      <w:r>
        <w:rPr>
          <w:rFonts w:ascii="Calibri" w:cs="Calibri" w:eastAsia="Calibri" w:hAnsi="Calibri"/>
          <w:b w:val="false"/>
          <w:bCs w:val="false"/>
          <w:i w:val="false"/>
          <w:iCs w:val="false"/>
          <w:color w:val="525252"/>
          <w:sz w:val="21"/>
          <w:szCs w:val="21"/>
        </w:rPr>
        <w:t xml:space="preserve">IBM commits a structured quarterly innovation process — governed, prioritized, business-case-backed innovation at Horizon’s direction. Not a roadmap slide. A working programme with dedicated leadership and budget.</w:t>
      </w:r>
    </w:p>
    <w:p>
      <w:pPr>
        <w:spacing w:after="40" w:before="120"/>
      </w:pPr>
      <w:r>
        <w:rPr>
          <w:rFonts w:ascii="Calibri" w:cs="Calibri" w:eastAsia="Calibri" w:hAnsi="Calibri"/>
          <w:b/>
          <w:bCs/>
          <w:i w:val="false"/>
          <w:iCs w:val="false"/>
          <w:color w:val="0F62FE"/>
          <w:sz w:val="21"/>
          <w:szCs w:val="21"/>
        </w:rPr>
        <w:t xml:space="preserve">Continuous Innovation Included</w:t>
      </w:r>
    </w:p>
    <w:p>
      <w:pPr>
        <w:spacing w:after="100" w:before="0"/>
      </w:pPr>
      <w:r>
        <w:rPr>
          <w:rFonts w:ascii="Calibri" w:cs="Calibri" w:eastAsia="Calibri" w:hAnsi="Calibri"/>
          <w:b w:val="false"/>
          <w:bCs w:val="false"/>
          <w:i w:val="false"/>
          <w:iCs w:val="false"/>
          <w:color w:val="525252"/>
          <w:sz w:val="21"/>
          <w:szCs w:val="21"/>
        </w:rPr>
        <w:t xml:space="preserve">Innovation sprints, AI tooling, and accelerators are built into the base delivery model. Transformation is not a separate future line item — it is embedded in every phase of the partnership.</w:t>
      </w:r>
    </w:p>
    <w:p>
      <w:pPr>
        <w:spacing w:after="120" w:before="0"/>
      </w:pPr>
      <w:r>
        <w:rPr>
          <w:rFonts w:ascii="Calibri" w:cs="Calibri" w:eastAsia="Calibri" w:hAnsi="Calibri"/>
          <w:sz w:val="12"/>
          <w:szCs w:val="12"/>
        </w:rPr>
        <w:t xml:space="preserve"/>
      </w:r>
    </w:p>
    <w:tbl>
      <w:tblPr>
        <w:tblW w:type="dxa" w:w="9360"/>
        <w:tblBorders>
          <w:top w:val="none" w:color="auto" w:sz="0"/>
          <w:left w:val="none" w:color="auto" w:sz="0"/>
          <w:bottom w:val="none" w:color="auto" w:sz="0"/>
          <w:right w:val="none" w:color="auto" w:sz="0"/>
          <w:insideH w:val="single" w:color="auto" w:sz="4"/>
          <w:insideV w:val="single" w:color="auto" w:sz="4"/>
        </w:tblBorders>
        <w:tblLayout w:type="fixed"/>
      </w:tblPr>
      <w:tblGrid>
        <w:gridCol w:w="100"/>
        <w:gridCol w:w="100"/>
        <w:gridCol w:w="100"/>
        <w:gridCol w:w="100"/>
      </w:tblGrid>
      <w:tr>
        <w:tc>
          <w:tcPr>
            <w:tcW w:type="dxa" w:w="2340"/>
            <w:tcBorders>
              <w:top w:val="single" w:color="0F62FE"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F62FE"/>
                <w:sz w:val="56"/>
                <w:szCs w:val="56"/>
              </w:rPr>
              <w:t xml:space="preserve">20K+</w:t>
            </w:r>
          </w:p>
          <w:p>
            <w:pPr>
              <w:spacing w:after="160" w:before="0"/>
              <w:jc w:val="center"/>
            </w:pPr>
            <w:r>
              <w:rPr>
                <w:rFonts w:ascii="Calibri" w:cs="Calibri" w:eastAsia="Calibri" w:hAnsi="Calibri"/>
                <w:b/>
                <w:bCs/>
                <w:i w:val="false"/>
                <w:iCs w:val="false"/>
                <w:color w:val="001141"/>
                <w:sz w:val="19"/>
                <w:szCs w:val="19"/>
              </w:rPr>
              <w:t xml:space="preserve">AI Practitioners</w:t>
            </w:r>
          </w:p>
        </w:tc>
        <w:tc>
          <w:tcPr>
            <w:tcW w:type="dxa" w:w="2340"/>
            <w:tcBorders>
              <w:top w:val="single" w:color="0043CE"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043CE"/>
                <w:sz w:val="56"/>
                <w:szCs w:val="56"/>
              </w:rPr>
              <w:t xml:space="preserve">81K+</w:t>
            </w:r>
          </w:p>
          <w:p>
            <w:pPr>
              <w:spacing w:after="160" w:before="0"/>
              <w:jc w:val="center"/>
            </w:pPr>
            <w:r>
              <w:rPr>
                <w:rFonts w:ascii="Calibri" w:cs="Calibri" w:eastAsia="Calibri" w:hAnsi="Calibri"/>
                <w:b/>
                <w:bCs/>
                <w:i w:val="false"/>
                <w:iCs w:val="false"/>
                <w:color w:val="001141"/>
                <w:sz w:val="19"/>
                <w:szCs w:val="19"/>
              </w:rPr>
              <w:t xml:space="preserve">Cloud Experts</w:t>
            </w:r>
          </w:p>
        </w:tc>
        <w:tc>
          <w:tcPr>
            <w:tcW w:type="dxa" w:w="2340"/>
            <w:tcBorders>
              <w:top w:val="single" w:color="007D79"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007D79"/>
                <w:sz w:val="56"/>
                <w:szCs w:val="56"/>
              </w:rPr>
              <w:t xml:space="preserve">40K+</w:t>
            </w:r>
          </w:p>
          <w:p>
            <w:pPr>
              <w:spacing w:after="160" w:before="0"/>
              <w:jc w:val="center"/>
            </w:pPr>
            <w:r>
              <w:rPr>
                <w:rFonts w:ascii="Calibri" w:cs="Calibri" w:eastAsia="Calibri" w:hAnsi="Calibri"/>
                <w:b/>
                <w:bCs/>
                <w:i w:val="false"/>
                <w:iCs w:val="false"/>
                <w:color w:val="001141"/>
                <w:sz w:val="19"/>
                <w:szCs w:val="19"/>
              </w:rPr>
              <w:t xml:space="preserve">AI Engagements</w:t>
            </w:r>
          </w:p>
        </w:tc>
        <w:tc>
          <w:tcPr>
            <w:tcW w:type="dxa" w:w="2340"/>
            <w:tcBorders>
              <w:top w:val="single" w:color="6929C4" w:sz="12"/>
              <w:left w:val="single" w:color="E0E0E0" w:sz="4"/>
              <w:bottom w:val="single" w:color="E0E0E0" w:sz="4"/>
              <w:right w:val="single" w:color="E0E0E0" w:sz="4"/>
            </w:tcBorders>
            <w:shd w:fill="EBF2FF" w:val="clear"/>
            <w:tcMar>
              <w:top w:type="dxa" w:w="80"/>
              <w:left w:type="dxa" w:w="120"/>
              <w:bottom w:type="dxa" w:w="80"/>
              <w:right w:type="dxa" w:w="120"/>
            </w:tcMar>
            <w:vAlign w:val="center"/>
          </w:tcPr>
          <w:p>
            <w:pPr>
              <w:spacing w:after="60" w:before="160"/>
              <w:jc w:val="center"/>
            </w:pPr>
            <w:r>
              <w:rPr>
                <w:rFonts w:ascii="Calibri" w:cs="Calibri" w:eastAsia="Calibri" w:hAnsi="Calibri"/>
                <w:b/>
                <w:bCs/>
                <w:i w:val="false"/>
                <w:iCs w:val="false"/>
                <w:color w:val="6929C4"/>
                <w:sz w:val="56"/>
                <w:szCs w:val="56"/>
              </w:rPr>
              <w:t xml:space="preserve">15K+</w:t>
            </w:r>
          </w:p>
          <w:p>
            <w:pPr>
              <w:spacing w:after="160" w:before="0"/>
              <w:jc w:val="center"/>
            </w:pPr>
            <w:r>
              <w:rPr>
                <w:rFonts w:ascii="Calibri" w:cs="Calibri" w:eastAsia="Calibri" w:hAnsi="Calibri"/>
                <w:b/>
                <w:bCs/>
                <w:i w:val="false"/>
                <w:iCs w:val="false"/>
                <w:color w:val="001141"/>
                <w:sz w:val="19"/>
                <w:szCs w:val="19"/>
              </w:rPr>
              <w:t xml:space="preserve">Global Delivery Centers</w:t>
            </w:r>
          </w:p>
        </w:tc>
      </w:tr>
    </w:tbl>
    <w:p>
      <w:pPr>
        <w:spacing w:after="160" w:before="0"/>
      </w:pPr>
      <w:r>
        <w:rPr>
          <w:rFonts w:ascii="Calibri" w:cs="Calibri" w:eastAsia="Calibri" w:hAnsi="Calibri"/>
          <w:sz w:val="12"/>
          <w:szCs w:val="12"/>
        </w:rPr>
        <w:t xml:space="preserve"/>
      </w:r>
    </w:p>
    <w:p>
      <w:pPr>
        <w:spacing w:after="80" w:before="200"/>
      </w:pPr>
      <w:r>
        <w:rPr>
          <w:rFonts w:ascii="Calibri" w:cs="Calibri" w:eastAsia="Calibri" w:hAnsi="Calibri"/>
          <w:b/>
          <w:bCs/>
          <w:i w:val="false"/>
          <w:iCs w:val="false"/>
          <w:color w:val="001141"/>
          <w:sz w:val="24"/>
          <w:szCs w:val="24"/>
        </w:rPr>
        <w:t xml:space="preserve">Healthcare Payer Pedigree</w:t>
      </w:r>
    </w:p>
    <w:p>
      <w:pPr>
        <w:spacing w:after="100" w:before="0"/>
      </w:pPr>
      <w:r>
        <w:rPr>
          <w:rFonts w:ascii="Calibri" w:cs="Calibri" w:eastAsia="Calibri" w:hAnsi="Calibri"/>
          <w:b w:val="false"/>
          <w:bCs w:val="false"/>
          <w:i w:val="false"/>
          <w:iCs w:val="false"/>
          <w:color w:val="525252"/>
          <w:sz w:val="21"/>
          <w:szCs w:val="21"/>
        </w:rPr>
        <w:t xml:space="preserve">IBM brings deep healthcare payer expertise — including BCBS operating models, CMS regulatory compliance, HIPAA data governance, enrollment lifecycle management, and claims adjudication platform knowledge — directly into Horizon’s delivery team from Day 1.</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AWS Partner of the Year 2025 — Enterprise AI delivery.</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Leader in Enterprise Software Quality &amp; Testing.</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Proven BCBS engagement track record — 9 of the top 10 US health payers served.</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Gartner Leader across 7 Data and AI Magic Quadrants (2025–2026).</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CMS &amp; HIPAA compliance expertise — regulatory readiness from Day 1.</w:t>
      </w:r>
    </w:p>
    <w:p>
      <w:pPr>
        <w:spacing w:after="120" w:before="0"/>
      </w:pPr>
      <w:r>
        <w:rPr>
          <w:rFonts w:ascii="Calibri" w:cs="Calibri" w:eastAsia="Calibri" w:hAnsi="Calibri"/>
          <w:sz w:val="12"/>
          <w:szCs w:val="12"/>
        </w:rPr>
        <w:t xml:space="preserve"/>
      </w:r>
    </w:p>
    <w:p>
      <w:pPr>
        <w:spacing w:after="80" w:before="200"/>
      </w:pPr>
      <w:r>
        <w:rPr>
          <w:rFonts w:ascii="Calibri" w:cs="Calibri" w:eastAsia="Calibri" w:hAnsi="Calibri"/>
          <w:b/>
          <w:bCs/>
          <w:i w:val="false"/>
          <w:iCs w:val="false"/>
          <w:color w:val="001141"/>
          <w:sz w:val="24"/>
          <w:szCs w:val="24"/>
        </w:rPr>
        <w:t xml:space="preserve">Recommended Next Steps</w:t>
      </w:r>
    </w:p>
    <w:p>
      <w:pPr>
        <w:spacing w:after="120" w:before="0"/>
      </w:pPr>
      <w:r>
        <w:rPr>
          <w:rFonts w:ascii="Calibri" w:cs="Calibri" w:eastAsia="Calibri" w:hAnsi="Calibri"/>
          <w:b w:val="false"/>
          <w:bCs w:val="false"/>
          <w:i w:val="false"/>
          <w:iCs w:val="false"/>
          <w:color w:val="001141"/>
          <w:sz w:val="21"/>
          <w:szCs w:val="21"/>
        </w:rPr>
        <w:t xml:space="preserve">From Proposal to Partnership — IBM’s Proposed Engagement Path:</w:t>
      </w:r>
    </w:p>
    <w:p>
      <w:pPr>
        <w:spacing w:after="40" w:before="120"/>
      </w:pPr>
      <w:r>
        <w:rPr>
          <w:rFonts w:ascii="Calibri" w:cs="Calibri" w:eastAsia="Calibri" w:hAnsi="Calibri"/>
          <w:b/>
          <w:bCs/>
          <w:i w:val="false"/>
          <w:iCs w:val="false"/>
          <w:color w:val="0F62FE"/>
          <w:sz w:val="21"/>
          <w:szCs w:val="21"/>
        </w:rPr>
        <w:t xml:space="preserve">Immediate Actions (2–4 Weeks)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Schedule Executive Alignment Session — IBM VP + Horizon CIO/COO to confirm transformation vision and scope.</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Conduct CareOps360 Command Center Walkthrough — live demo with Horizon’s operational and technology leadership.</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Initiate Contract Finalization — confirm outcome-based SLA schedule and investment model.</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Begin Phase 0 Foundation Assessment — IBM AMS team on-site for application portfolio and AIOps baseline.</w:t>
      </w:r>
    </w:p>
    <w:p>
      <w:pPr>
        <w:spacing w:after="40" w:before="120"/>
      </w:pPr>
      <w:r>
        <w:rPr>
          <w:rFonts w:ascii="Calibri" w:cs="Calibri" w:eastAsia="Calibri" w:hAnsi="Calibri"/>
          <w:b/>
          <w:bCs/>
          <w:i w:val="false"/>
          <w:iCs w:val="false"/>
          <w:color w:val="0F62FE"/>
          <w:sz w:val="21"/>
          <w:szCs w:val="21"/>
        </w:rPr>
        <w:t xml:space="preserve">Phase 0 Commitments (Weeks 1–12)</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Weeks 1–2: IBM transition team mobilized; AIOps instrumentation begins across priority applications.</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Weeks 3–4: Architecture definition workshop; KPI alignment roadmap delivered.</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Weeks 5–6: Phase 1 Ignite plan presented to Steering Committee.</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Weeks 7–8: Transformation Office inaugural session — first idea pipeline scoped.</w:t>
      </w:r>
    </w:p>
    <w:p>
      <w:pPr>
        <w:pStyle w:val="ListParagraph"/>
        <w:numPr>
          <w:ilvl w:val="0"/>
          <w:numId w:val="1"/>
        </w:numPr>
        <w:spacing w:after="60" w:before="20"/>
      </w:pPr>
      <w:r>
        <w:rPr>
          <w:rFonts w:ascii="Calibri" w:cs="Calibri" w:eastAsia="Calibri" w:hAnsi="Calibri"/>
          <w:b w:val="false"/>
          <w:bCs w:val="false"/>
          <w:i w:val="false"/>
          <w:iCs w:val="false"/>
          <w:color w:val="525252"/>
          <w:sz w:val="21"/>
          <w:szCs w:val="21"/>
        </w:rPr>
        <w:t xml:space="preserve">Weeks 8–12: AIOps platform live on production.</w:t>
      </w:r>
    </w:p>
    <w:p>
      <w:pPr>
        <w:spacing w:after="80" w:before="0"/>
      </w:pPr>
      <w:r>
        <w:rPr>
          <w:rFonts w:ascii="Calibri" w:cs="Calibri" w:eastAsia="Calibri" w:hAnsi="Calibri"/>
          <w:sz w:val="12"/>
          <w:szCs w:val="12"/>
        </w:rPr>
        <w:t xml:space="preserve"/>
      </w:r>
    </w:p>
    <w:p>
      <w:pPr>
        <w:shd w:fill="EBF2FF" w:val="clear"/>
        <w:spacing w:after="120" w:before="120"/>
        <w:ind w:left="360" w:right="360"/>
      </w:pPr>
      <w:r>
        <w:rPr>
          <w:rFonts w:ascii="Calibri" w:cs="Calibri" w:eastAsia="Calibri" w:hAnsi="Calibri"/>
          <w:b/>
          <w:bCs/>
          <w:i w:val="false"/>
          <w:iCs w:val="false"/>
          <w:color w:val="001141"/>
          <w:sz w:val="21"/>
          <w:szCs w:val="21"/>
        </w:rPr>
        <w:t xml:space="preserve">IBM is ready to begin. With Horizon’s confirmation, Phase 0 can mobilize within 5 business days.</w:t>
      </w:r>
    </w:p>
    <w:p>
      <w:pPr>
        <w:spacing w:after="200" w:before="0"/>
      </w:pPr>
      <w:r>
        <w:rPr>
          <w:rFonts w:ascii="Calibri" w:cs="Calibri" w:eastAsia="Calibri" w:hAnsi="Calibri"/>
          <w:sz w:val="12"/>
          <w:szCs w:val="12"/>
        </w:rPr>
        <w:t xml:space="preserve"/>
      </w:r>
    </w:p>
    <w:p>
      <w:pPr>
        <w:pBdr>
          <w:bottom w:val="single" w:color="0F62FE" w:sz="8"/>
        </w:pBdr>
        <w:spacing w:after="160" w:before="100"/>
      </w:pPr>
    </w:p>
    <w:p>
      <w:pPr>
        <w:spacing w:after="80" w:before="80"/>
      </w:pPr>
      <w:r>
        <w:rPr>
          <w:rFonts w:ascii="Calibri" w:cs="Calibri" w:eastAsia="Calibri" w:hAnsi="Calibri"/>
          <w:b w:val="false"/>
          <w:bCs w:val="false"/>
          <w:i/>
          <w:iCs/>
          <w:color w:val="525252"/>
          <w:sz w:val="23"/>
          <w:szCs w:val="23"/>
        </w:rPr>
        <w:t xml:space="preserve">“The measure of a great payer isn’t uptime percentages or ticket counts. It is the member who never has to think about their insurance because </w:t>
      </w:r>
      <w:r>
        <w:rPr>
          <w:rFonts w:ascii="Calibri" w:cs="Calibri" w:eastAsia="Calibri" w:hAnsi="Calibri"/>
          <w:b/>
          <w:bCs/>
          <w:i/>
          <w:iCs/>
          <w:color w:val="001141"/>
          <w:sz w:val="23"/>
          <w:szCs w:val="23"/>
        </w:rPr>
        <w:t xml:space="preserve">everything just works.</w:t>
      </w:r>
      <w:r>
        <w:rPr>
          <w:rFonts w:ascii="Calibri" w:cs="Calibri" w:eastAsia="Calibri" w:hAnsi="Calibri"/>
          <w:b w:val="false"/>
          <w:bCs w:val="false"/>
          <w:i/>
          <w:iCs/>
          <w:color w:val="525252"/>
          <w:sz w:val="23"/>
          <w:szCs w:val="23"/>
        </w:rPr>
        <w:t xml:space="preserve"> That is what IBM is here to build.”</w:t>
      </w:r>
    </w:p>
    <w:p>
      <w:pPr>
        <w:spacing w:after="80" w:before="120"/>
        <w:jc w:val="center"/>
      </w:pPr>
      <w:r>
        <w:rPr>
          <w:rFonts w:ascii="Calibri" w:cs="Calibri" w:eastAsia="Calibri" w:hAnsi="Calibri"/>
          <w:b/>
          <w:bCs/>
          <w:i w:val="false"/>
          <w:iCs w:val="false"/>
          <w:color w:val="001141"/>
          <w:sz w:val="24"/>
          <w:szCs w:val="24"/>
        </w:rPr>
        <w:t xml:space="preserve">A Strategic Partnership for Enterprise Transformation</w:t>
      </w:r>
    </w:p>
    <w:p>
      <w:pPr>
        <w:spacing w:after="160" w:before="0"/>
        <w:jc w:val="center"/>
      </w:pPr>
      <w:r>
        <w:rPr>
          <w:rFonts w:ascii="Calibri" w:cs="Calibri" w:eastAsia="Calibri" w:hAnsi="Calibri"/>
          <w:b w:val="false"/>
          <w:bCs w:val="false"/>
          <w:i/>
          <w:iCs/>
          <w:color w:val="525252"/>
          <w:sz w:val="21"/>
          <w:szCs w:val="21"/>
        </w:rPr>
        <w:t xml:space="preserve">IBM is committed to Horizon’s success — not as a vendor, but as a transformation partner with shared stakes in every outcome.</w:t>
      </w:r>
    </w:p>
    <w:p>
      <w:pPr>
        <w:pBdr>
          <w:top w:val="single" w:color="E0E0E0" w:sz="2"/>
        </w:pBdr>
        <w:spacing w:after="80" w:before="100"/>
      </w:pPr>
    </w:p>
    <w:p>
      <w:pPr>
        <w:spacing w:after="0" w:before="0"/>
        <w:jc w:val="center"/>
      </w:pPr>
      <w:r>
        <w:rPr>
          <w:rFonts w:ascii="Calibri" w:cs="Calibri" w:eastAsia="Calibri" w:hAnsi="Calibri"/>
          <w:b w:val="false"/>
          <w:bCs w:val="false"/>
          <w:i w:val="false"/>
          <w:iCs w:val="false"/>
          <w:color w:val="8D8D8D"/>
          <w:sz w:val="16"/>
          <w:szCs w:val="16"/>
        </w:rPr>
        <w:t xml:space="preserve">© 2026 IBM Corporation  ·  IBM-HZN-AMS-RFP-2026-CAS  ·  Confidential — Executive Use Only  ·  All figures based on IBM programme data and industry benchmarks.</w:t>
      </w:r>
    </w:p>
    <w:sectPr>
      <w:headerReference w:type="default" r:id="rId7"/>
      <w:footerReference w:type="default" r:id="rId8"/>
      <w:pgSz w:w="11906" w:h="16838" w:orient="portrait"/>
      <w:pgMar w:top="1224"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spacing w:after="0" w:before="60"/>
    </w:pPr>
    <w:r>
      <w:rPr>
        <w:rFonts w:ascii="Calibri" w:cs="Calibri" w:eastAsia="Calibri" w:hAnsi="Calibri"/>
        <w:b w:val="false"/>
        <w:bCs w:val="false"/>
        <w:i w:val="false"/>
        <w:iCs w:val="false"/>
        <w:color w:val="0F62FE"/>
        <w:sz w:val="15"/>
        <w:szCs w:val="15"/>
      </w:rPr>
      <w:t xml:space="preserve">CareOps360  ·  IBM AIOps  ·  IBM Consulting Advantage  ·  April 2026  —  </w:t>
    </w:r>
    <w:r>
      <w:rPr>
        <w:rFonts w:ascii="Calibri" w:cs="Calibri" w:eastAsia="Calibri" w:hAnsi="Calibri"/>
        <w:color w:val="8D8D8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2FE" w:sz="4" w:space="6"/>
      </w:pBdr>
      <w:spacing w:after="0"/>
      <w:jc w:val="right"/>
    </w:pPr>
    <w:r>
      <w:rPr>
        <w:rFonts w:ascii="Calibri" w:cs="Calibri" w:eastAsia="Calibri" w:hAnsi="Calibri"/>
        <w:b/>
        <w:bCs/>
        <w:i w:val="false"/>
        <w:iCs w:val="false"/>
        <w:color w:val="8D8D8D"/>
        <w:sz w:val="15"/>
        <w:szCs w:val="15"/>
      </w:rPr>
      <w:t xml:space="preserve">IBM × HORIZON BCBS  —  APPLICATION DEVELOPMENT, MAINTENANCE &amp; QUALITY ENGINEERING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 Horizon BCBS — Application Development, Maintenance &amp; Quality Engineering</dc:title>
  <dc:creator>IBM Consulting — Healthcare &amp; Payer Delivery</dc:creator>
  <cp:lastModifiedBy>Un-named</cp:lastModifiedBy>
  <cp:revision>1</cp:revision>
  <dcterms:created xsi:type="dcterms:W3CDTF">2026-04-16T05:31:37.617Z</dcterms:created>
  <dcterms:modified xsi:type="dcterms:W3CDTF">2026-04-16T05:31:37.620Z</dcterms:modified>
</cp:coreProperties>
</file>

<file path=docProps/custom.xml><?xml version="1.0" encoding="utf-8"?>
<Properties xmlns="http://schemas.openxmlformats.org/officeDocument/2006/custom-properties" xmlns:vt="http://schemas.openxmlformats.org/officeDocument/2006/docPropsVTypes"/>
</file>