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1141" w:val="clear"/>
        <w:spacing w:after="280" w:before="280"/>
      </w:pPr>
      <w:r>
        <w:rPr>
          <w:rFonts w:ascii="Calibri" w:cs="Calibri" w:eastAsia="Calibri" w:hAnsi="Calibri"/>
          <w:b/>
          <w:bCs/>
          <w:i w:val="false"/>
          <w:iCs w:val="false"/>
          <w:color w:val="FFFFFF"/>
          <w:sz w:val="18"/>
          <w:szCs w:val="18"/>
        </w:rPr>
        <w:t xml:space="preserve">IBM CONSULTING   |   HEALTHCARE &amp; PAYER DELIVERY   |   AMS PRACTICE</w:t>
      </w:r>
    </w:p>
    <w:p>
      <w:pPr>
        <w:shd w:fill="0F62FE" w:val="clear"/>
        <w:spacing w:after="60" w:before="0"/>
      </w:pPr>
    </w:p>
    <w:p>
      <w:pPr>
        <w:spacing w:after="400" w:before="0"/>
      </w:pPr>
      <w:r>
        <w:rPr>
          <w:rFonts w:ascii="Calibri" w:cs="Calibri" w:eastAsia="Calibri" w:hAnsi="Calibri"/>
          <w:sz w:val="12"/>
          <w:szCs w:val="12"/>
        </w:rPr>
        <w:t xml:space="preserve"/>
      </w:r>
    </w:p>
    <w:p>
      <w:pPr>
        <w:spacing w:after="160" w:before="0"/>
        <w:ind w:left="1584"/>
      </w:pPr>
      <w:r>
        <w:rPr>
          <w:rFonts w:ascii="Calibri" w:cs="Calibri" w:eastAsia="Calibri" w:hAnsi="Calibri"/>
          <w:b/>
          <w:bCs/>
          <w:i w:val="false"/>
          <w:iCs w:val="false"/>
          <w:color w:val="0F62FE"/>
          <w:sz w:val="48"/>
          <w:szCs w:val="48"/>
        </w:rPr>
        <w:t xml:space="preserve">AI-FIRST  ·  AGENTIC BY CORE</w:t>
      </w:r>
    </w:p>
    <w:p>
      <w:pPr>
        <w:spacing w:after="0" w:before="0"/>
        <w:ind w:left="1584"/>
      </w:pPr>
      <w:r>
        <w:rPr>
          <w:rFonts w:ascii="Calibri" w:cs="Calibri" w:eastAsia="Calibri" w:hAnsi="Calibri"/>
          <w:b/>
          <w:bCs/>
          <w:i w:val="false"/>
          <w:iCs w:val="false"/>
          <w:color w:val="001141"/>
          <w:sz w:val="76"/>
          <w:szCs w:val="76"/>
        </w:rPr>
        <w:t xml:space="preserve">Application Development,</w:t>
      </w:r>
    </w:p>
    <w:p>
      <w:pPr>
        <w:spacing w:after="0" w:before="0"/>
        <w:ind w:left="1584"/>
      </w:pPr>
      <w:r>
        <w:rPr>
          <w:rFonts w:ascii="Calibri" w:cs="Calibri" w:eastAsia="Calibri" w:hAnsi="Calibri"/>
          <w:b/>
          <w:bCs/>
          <w:i w:val="false"/>
          <w:iCs w:val="false"/>
          <w:color w:val="001141"/>
          <w:sz w:val="76"/>
          <w:szCs w:val="76"/>
        </w:rPr>
        <w:t xml:space="preserve">Maintenance &amp;</w:t>
      </w:r>
    </w:p>
    <w:p>
      <w:pPr>
        <w:spacing w:after="160" w:before="0"/>
        <w:ind w:left="1584"/>
      </w:pPr>
      <w:r>
        <w:rPr>
          <w:rFonts w:ascii="Calibri" w:cs="Calibri" w:eastAsia="Calibri" w:hAnsi="Calibri"/>
          <w:b/>
          <w:bCs/>
          <w:i w:val="false"/>
          <w:iCs w:val="false"/>
          <w:color w:val="0F62FE"/>
          <w:sz w:val="76"/>
          <w:szCs w:val="76"/>
        </w:rPr>
        <w:t xml:space="preserve">Quality Engineering</w:t>
      </w:r>
    </w:p>
    <w:p>
      <w:pPr>
        <w:spacing w:after="500" w:before="0"/>
        <w:ind w:left="1584"/>
      </w:pPr>
      <w:r>
        <w:rPr>
          <w:rFonts w:ascii="Calibri" w:cs="Calibri" w:eastAsia="Calibri" w:hAnsi="Calibri"/>
          <w:b w:val="false"/>
          <w:bCs w:val="false"/>
          <w:i/>
          <w:iCs/>
          <w:color w:val="8D8D8D"/>
          <w:sz w:val="26"/>
          <w:szCs w:val="26"/>
        </w:rPr>
        <w:t xml:space="preserve">Where Every Line of Code, Every Test, and Every Resolved Incident
Is Measured by the Member It Serves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4118"/>
            <w:tcBorders>
              <w:top w:val="none" w:color="auto" w:sz="0"/>
              <w:left w:val="none" w:color="auto" w:sz="0"/>
              <w:bottom w:val="none" w:color="auto" w:sz="0"/>
              <w:right w:val="none" w:color="auto" w:sz="0"/>
            </w:tcBorders>
            <w:shd w:fill="FFFFFF" w:val="clear"/>
            <w:tcMar>
              <w:top w:type="dxa" w:w="60"/>
              <w:left w:type="dxa" w:w="160"/>
              <w:bottom w:type="dxa" w:w="60"/>
              <w:right w:type="dxa" w:w="160"/>
            </w:tcMar>
            <w:vAlign w:val="center"/>
          </w:tcPr>
          <w:p>
            <w:pPr>
              <w:spacing w:after="40" w:before="0"/>
            </w:pPr>
            <w:r>
              <w:rPr>
                <w:rFonts w:ascii="Calibri" w:cs="Calibri" w:eastAsia="Calibri" w:hAnsi="Calibri"/>
                <w:b/>
                <w:bCs/>
                <w:i w:val="false"/>
                <w:iCs w:val="false"/>
                <w:color w:val="001141"/>
                <w:sz w:val="20"/>
                <w:szCs w:val="20"/>
              </w:rPr>
              <w:t xml:space="preserve">Submitted by:</w:t>
            </w:r>
          </w:p>
          <w:p>
            <w:pPr>
              <w:spacing w:after="20" w:before="0"/>
            </w:pPr>
            <w:r>
              <w:rPr>
                <w:rFonts w:ascii="Calibri" w:cs="Calibri" w:eastAsia="Calibri" w:hAnsi="Calibri"/>
                <w:b w:val="false"/>
                <w:bCs w:val="false"/>
                <w:i w:val="false"/>
                <w:iCs w:val="false"/>
                <w:color w:val="525252"/>
                <w:sz w:val="21"/>
                <w:szCs w:val="21"/>
              </w:rPr>
              <w:t xml:space="preserve">IBM Consulting</w:t>
            </w:r>
          </w:p>
          <w:p>
            <w:pPr>
              <w:spacing w:after="0" w:before="0"/>
            </w:pPr>
            <w:r>
              <w:rPr>
                <w:rFonts w:ascii="Calibri" w:cs="Calibri" w:eastAsia="Calibri" w:hAnsi="Calibri"/>
                <w:b w:val="false"/>
                <w:bCs w:val="false"/>
                <w:i w:val="false"/>
                <w:iCs w:val="false"/>
                <w:color w:val="525252"/>
                <w:sz w:val="21"/>
                <w:szCs w:val="21"/>
              </w:rPr>
              <w:t xml:space="preserve">Healthcare &amp; Payer Delivery — AMS Practice</w:t>
            </w:r>
          </w:p>
        </w:tc>
        <w:tc>
          <w:tcPr>
            <w:tcW w:type="dxa" w:w="5242"/>
            <w:tcBorders>
              <w:top w:val="none" w:color="auto" w:sz="0"/>
              <w:left w:val="none" w:color="auto" w:sz="0"/>
              <w:bottom w:val="none" w:color="auto" w:sz="0"/>
              <w:right w:val="none" w:color="auto" w:sz="0"/>
            </w:tcBorders>
            <w:shd w:fill="FFFFFF" w:val="clear"/>
            <w:tcMar>
              <w:top w:type="dxa" w:w="60"/>
              <w:left w:type="dxa" w:w="160"/>
              <w:bottom w:type="dxa" w:w="60"/>
              <w:right w:type="dxa" w:w="160"/>
            </w:tcMar>
            <w:vAlign w:val="center"/>
          </w:tcPr>
          <w:p>
            <w:pPr>
              <w:spacing w:after="40" w:before="0"/>
            </w:pPr>
            <w:r>
              <w:rPr>
                <w:rFonts w:ascii="Calibri" w:cs="Calibri" w:eastAsia="Calibri" w:hAnsi="Calibri"/>
                <w:b/>
                <w:bCs/>
                <w:i w:val="false"/>
                <w:iCs w:val="false"/>
                <w:color w:val="001141"/>
                <w:sz w:val="20"/>
                <w:szCs w:val="20"/>
              </w:rPr>
              <w:t xml:space="preserve">Submitted to:</w:t>
            </w:r>
          </w:p>
          <w:p>
            <w:pPr>
              <w:spacing w:after="20" w:before="0"/>
            </w:pPr>
            <w:r>
              <w:rPr>
                <w:rFonts w:ascii="Calibri" w:cs="Calibri" w:eastAsia="Calibri" w:hAnsi="Calibri"/>
                <w:b w:val="false"/>
                <w:bCs w:val="false"/>
                <w:i w:val="false"/>
                <w:iCs w:val="false"/>
                <w:color w:val="525252"/>
                <w:sz w:val="21"/>
                <w:szCs w:val="21"/>
              </w:rPr>
              <w:t xml:space="preserve">Horizon Blue Cross Blue Shield of New Jersey</w:t>
            </w:r>
          </w:p>
          <w:p>
            <w:pPr>
              <w:spacing w:after="0" w:before="0"/>
            </w:pPr>
            <w:r>
              <w:rPr>
                <w:rFonts w:ascii="Calibri" w:cs="Calibri" w:eastAsia="Calibri" w:hAnsi="Calibri"/>
                <w:b w:val="false"/>
                <w:bCs w:val="false"/>
                <w:i w:val="false"/>
                <w:iCs w:val="false"/>
                <w:color w:val="525252"/>
                <w:sz w:val="21"/>
                <w:szCs w:val="21"/>
              </w:rPr>
              <w:t xml:space="preserve">Executive Leadership &amp; Technology Office</w:t>
            </w:r>
          </w:p>
        </w:tc>
      </w:tr>
    </w:tbl>
    <w:p>
      <w:pPr>
        <w:spacing w:after="120" w:before="0"/>
      </w:pPr>
      <w:r>
        <w:rPr>
          <w:rFonts w:ascii="Calibri" w:cs="Calibri" w:eastAsia="Calibri" w:hAnsi="Calibri"/>
          <w:sz w:val="12"/>
          <w:szCs w:val="12"/>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tblGrid>
      <w:tr>
        <w:tc>
          <w:tcPr>
            <w:tcW w:type="dxa" w:w="9360"/>
            <w:tcBorders>
              <w:top w:val="none" w:color="auto" w:sz="0"/>
              <w:left w:val="none" w:color="auto" w:sz="0"/>
              <w:bottom w:val="none" w:color="auto" w:sz="0"/>
              <w:right w:val="none" w:color="auto" w:sz="0"/>
            </w:tcBorders>
            <w:shd w:fill="FFFFFF" w:val="clear"/>
            <w:tcMar>
              <w:top w:type="dxa" w:w="60"/>
              <w:left w:type="dxa" w:w="160"/>
              <w:bottom w:type="dxa" w:w="60"/>
              <w:right w:type="dxa" w:w="160"/>
            </w:tcMar>
            <w:vAlign w:val="center"/>
          </w:tcPr>
          <w:p>
            <w:pPr>
              <w:spacing w:after="40" w:before="0"/>
            </w:pPr>
            <w:r>
              <w:rPr>
                <w:rFonts w:ascii="Calibri" w:cs="Calibri" w:eastAsia="Calibri" w:hAnsi="Calibri"/>
                <w:b/>
                <w:bCs/>
                <w:i w:val="false"/>
                <w:iCs w:val="false"/>
                <w:color w:val="001141"/>
                <w:sz w:val="20"/>
                <w:szCs w:val="20"/>
              </w:rPr>
              <w:t xml:space="preserve">Document Classification:</w:t>
            </w:r>
            <w:r>
              <w:rPr>
                <w:rFonts w:ascii="Calibri" w:cs="Calibri" w:eastAsia="Calibri" w:hAnsi="Calibri"/>
                <w:b w:val="false"/>
                <w:bCs w:val="false"/>
                <w:i w:val="false"/>
                <w:iCs w:val="false"/>
                <w:color w:val="525252"/>
                <w:sz w:val="20"/>
                <w:szCs w:val="20"/>
              </w:rPr>
              <w:t xml:space="preserve">   CONFIDENTIAL</w:t>
            </w:r>
          </w:p>
          <w:p>
            <w:pPr>
              <w:spacing w:after="40" w:before="0"/>
            </w:pPr>
            <w:r>
              <w:rPr>
                <w:rFonts w:ascii="Calibri" w:cs="Calibri" w:eastAsia="Calibri" w:hAnsi="Calibri"/>
                <w:b/>
                <w:bCs/>
                <w:i w:val="false"/>
                <w:iCs w:val="false"/>
                <w:color w:val="001141"/>
                <w:sz w:val="20"/>
                <w:szCs w:val="20"/>
              </w:rPr>
              <w:t xml:space="preserve">Date:</w:t>
            </w:r>
            <w:r>
              <w:rPr>
                <w:rFonts w:ascii="Calibri" w:cs="Calibri" w:eastAsia="Calibri" w:hAnsi="Calibri"/>
                <w:b w:val="false"/>
                <w:bCs w:val="false"/>
                <w:i w:val="false"/>
                <w:iCs w:val="false"/>
                <w:color w:val="525252"/>
                <w:sz w:val="20"/>
                <w:szCs w:val="20"/>
              </w:rPr>
              <w:t xml:space="preserve">   April 2026</w:t>
            </w:r>
          </w:p>
          <w:p>
            <w:pPr>
              <w:spacing w:after="0" w:before="0"/>
            </w:pPr>
            <w:r>
              <w:rPr>
                <w:rFonts w:ascii="Calibri" w:cs="Calibri" w:eastAsia="Calibri" w:hAnsi="Calibri"/>
                <w:b/>
                <w:bCs/>
                <w:i w:val="false"/>
                <w:iCs w:val="false"/>
                <w:color w:val="001141"/>
                <w:sz w:val="20"/>
                <w:szCs w:val="20"/>
              </w:rPr>
              <w:t xml:space="preserve">Reference:</w:t>
            </w:r>
            <w:r>
              <w:rPr>
                <w:rFonts w:ascii="Calibri" w:cs="Calibri" w:eastAsia="Calibri" w:hAnsi="Calibri"/>
                <w:b w:val="false"/>
                <w:bCs w:val="false"/>
                <w:i w:val="false"/>
                <w:iCs w:val="false"/>
                <w:color w:val="525252"/>
                <w:sz w:val="20"/>
                <w:szCs w:val="20"/>
              </w:rPr>
              <w:t xml:space="preserve">   IBM-HZN-AMS-RFP-2026-CAS</w:t>
            </w:r>
          </w:p>
        </w:tc>
      </w:tr>
    </w:tbl>
    <w:p>
      <w:pPr>
        <w:spacing w:after="600" w:before="0"/>
      </w:pPr>
      <w:r>
        <w:rPr>
          <w:rFonts w:ascii="Calibri" w:cs="Calibri" w:eastAsia="Calibri" w:hAnsi="Calibri"/>
          <w:sz w:val="12"/>
          <w:szCs w:val="12"/>
        </w:rPr>
        <w:t xml:space="preserve"/>
      </w:r>
    </w:p>
    <w:p>
      <w:pPr>
        <w:shd w:fill="001141" w:val="clear"/>
        <w:spacing w:after="100" w:before="100"/>
        <w:jc w:val="center"/>
      </w:pPr>
      <w:r>
        <w:rPr>
          <w:rFonts w:ascii="Calibri" w:cs="Calibri" w:eastAsia="Calibri" w:hAnsi="Calibri"/>
          <w:b w:val="false"/>
          <w:bCs w:val="false"/>
          <w:i w:val="false"/>
          <w:iCs w:val="false"/>
          <w:color w:val="FFFFFF"/>
          <w:sz w:val="17"/>
          <w:szCs w:val="17"/>
        </w:rPr>
        <w:t xml:space="preserve">Powered by CareOps360  ·  IBM AIOps  ·  IBM Consulting Advantage  ·  HIPAA Compliant  ·  © 2026 IBM Corporation</w:t>
      </w:r>
    </w:p>
    <w:p>
      <w:pPr>
        <w:sectPr>
          <w:pgSz w:w="11906" w:h="16838" w:orient="portrait"/>
          <w:pgMar w:top="0" w:right="0" w:bottom="0" w:left="0" w:header="708" w:footer="708" w:gutter="0"/>
          <w:pgNumType/>
          <w:docGrid w:linePitch="360"/>
        </w:sectPr>
      </w:pPr>
    </w:p>
    <w:p>
      <w:pPr>
        <w:spacing w:after="40" w:before="0"/>
      </w:pPr>
      <w:r>
        <w:rPr>
          <w:rFonts w:ascii="Calibri" w:cs="Calibri" w:eastAsia="Calibri" w:hAnsi="Calibri"/>
          <w:b/>
          <w:bCs/>
          <w:i w:val="false"/>
          <w:iCs w:val="false"/>
          <w:color w:val="0F62FE"/>
          <w:sz w:val="18"/>
          <w:szCs w:val="18"/>
        </w:rPr>
        <w:t xml:space="preserve">IBM × Horizon BCBS — Application Development, Maintenance &amp; Quality Engineering</w:t>
      </w:r>
    </w:p>
    <w:p>
      <w:pPr>
        <w:spacing w:after="160" w:before="0"/>
      </w:pPr>
      <w:r>
        <w:rPr>
          <w:rFonts w:ascii="Calibri" w:cs="Calibri" w:eastAsia="Calibri" w:hAnsi="Calibri"/>
          <w:b w:val="false"/>
          <w:bCs w:val="false"/>
          <w:i/>
          <w:iCs/>
          <w:color w:val="8D8D8D"/>
          <w:sz w:val="18"/>
          <w:szCs w:val="18"/>
        </w:rPr>
        <w:t xml:space="preserve">Executive Summary  |  April 2026  |  Confidential</w:t>
      </w:r>
    </w:p>
    <w:p>
      <w:pPr>
        <w:pBdr>
          <w:bottom w:val="single" w:color="0F62FE" w:sz="8"/>
        </w:pBdr>
        <w:spacing w:after="200" w:before="0"/>
      </w:pP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56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01</w:t>
            </w:r>
          </w:p>
        </w:tc>
        <w:tc>
          <w:tcPr>
            <w:tcW w:type="dxa" w:w="3557"/>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Executive Summary</w:t>
            </w:r>
          </w:p>
        </w:tc>
        <w:tc>
          <w:tcPr>
            <w:tcW w:type="dxa" w:w="524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AI-First, Member-Centred Transformation of AMS Delivery</w:t>
            </w:r>
          </w:p>
        </w:tc>
      </w:tr>
      <w:tr>
        <w:tc>
          <w:tcPr>
            <w:tcW w:type="dxa" w:w="56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02</w:t>
            </w:r>
          </w:p>
        </w:tc>
        <w:tc>
          <w:tcPr>
            <w:tcW w:type="dxa" w:w="3557"/>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The Delivery Imperative</w:t>
            </w:r>
          </w:p>
        </w:tc>
        <w:tc>
          <w:tcPr>
            <w:tcW w:type="dxa" w:w="524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Why Horizon Needs a New Operating Model — and Why Now</w:t>
            </w:r>
          </w:p>
        </w:tc>
      </w:tr>
      <w:tr>
        <w:tc>
          <w:tcPr>
            <w:tcW w:type="dxa" w:w="56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03</w:t>
            </w:r>
          </w:p>
        </w:tc>
        <w:tc>
          <w:tcPr>
            <w:tcW w:type="dxa" w:w="3557"/>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AI-First Application Development</w:t>
            </w:r>
          </w:p>
        </w:tc>
        <w:tc>
          <w:tcPr>
            <w:tcW w:type="dxa" w:w="524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Agentic Engineering, Risk-Scored Pipelines &amp; Domain Squads</w:t>
            </w:r>
          </w:p>
        </w:tc>
      </w:tr>
      <w:tr>
        <w:tc>
          <w:tcPr>
            <w:tcW w:type="dxa" w:w="56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04</w:t>
            </w:r>
          </w:p>
        </w:tc>
        <w:tc>
          <w:tcPr>
            <w:tcW w:type="dxa" w:w="3557"/>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Zero-Touch Application Maintenance</w:t>
            </w:r>
          </w:p>
        </w:tc>
        <w:tc>
          <w:tcPr>
            <w:tcW w:type="dxa" w:w="524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From Reactive Firefighting to Self-Healing Agentic Operations</w:t>
            </w:r>
          </w:p>
        </w:tc>
      </w:tr>
      <w:tr>
        <w:tc>
          <w:tcPr>
            <w:tcW w:type="dxa" w:w="56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05</w:t>
            </w:r>
          </w:p>
        </w:tc>
        <w:tc>
          <w:tcPr>
            <w:tcW w:type="dxa" w:w="3557"/>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Quality Engineering</w:t>
            </w:r>
          </w:p>
        </w:tc>
        <w:tc>
          <w:tcPr>
            <w:tcW w:type="dxa" w:w="524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Measurable Quality at Every Milestone — Improved with Every Release</w:t>
            </w:r>
          </w:p>
        </w:tc>
      </w:tr>
      <w:tr>
        <w:tc>
          <w:tcPr>
            <w:tcW w:type="dxa" w:w="56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06</w:t>
            </w:r>
          </w:p>
        </w:tc>
        <w:tc>
          <w:tcPr>
            <w:tcW w:type="dxa" w:w="3557"/>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Member &amp; Provider Experience</w:t>
            </w:r>
          </w:p>
        </w:tc>
        <w:tc>
          <w:tcPr>
            <w:tcW w:type="dxa" w:w="524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Every Operational Improvement Measured by the Human It Serves</w:t>
            </w:r>
          </w:p>
        </w:tc>
      </w:tr>
      <w:tr>
        <w:tc>
          <w:tcPr>
            <w:tcW w:type="dxa" w:w="56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07</w:t>
            </w:r>
          </w:p>
        </w:tc>
        <w:tc>
          <w:tcPr>
            <w:tcW w:type="dxa" w:w="3557"/>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CareOps360 Command Center</w:t>
            </w:r>
          </w:p>
        </w:tc>
        <w:tc>
          <w:tcPr>
            <w:tcW w:type="dxa" w:w="524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IBM’s Executive Operations Platform for Real-Time Visibility</w:t>
            </w:r>
          </w:p>
        </w:tc>
      </w:tr>
      <w:tr>
        <w:tc>
          <w:tcPr>
            <w:tcW w:type="dxa" w:w="56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08</w:t>
            </w:r>
          </w:p>
        </w:tc>
        <w:tc>
          <w:tcPr>
            <w:tcW w:type="dxa" w:w="3557"/>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Phased Delivery Roadmap</w:t>
            </w:r>
          </w:p>
        </w:tc>
        <w:tc>
          <w:tcPr>
            <w:tcW w:type="dxa" w:w="524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Stabilization to Autonomous Operations</w:t>
            </w:r>
          </w:p>
        </w:tc>
      </w:tr>
      <w:tr>
        <w:tc>
          <w:tcPr>
            <w:tcW w:type="dxa" w:w="56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09</w:t>
            </w:r>
          </w:p>
        </w:tc>
        <w:tc>
          <w:tcPr>
            <w:tcW w:type="dxa" w:w="3557"/>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Transformation Opportunities</w:t>
            </w:r>
          </w:p>
        </w:tc>
        <w:tc>
          <w:tcPr>
            <w:tcW w:type="dxa" w:w="524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Platform Modernization, Mainframe Migration &amp; Technical Debt</w:t>
            </w:r>
          </w:p>
        </w:tc>
      </w:tr>
      <w:tr>
        <w:tc>
          <w:tcPr>
            <w:tcW w:type="dxa" w:w="56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10</w:t>
            </w:r>
          </w:p>
        </w:tc>
        <w:tc>
          <w:tcPr>
            <w:tcW w:type="dxa" w:w="3557"/>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Why IBM — Call to Action</w:t>
            </w:r>
          </w:p>
        </w:tc>
        <w:tc>
          <w:tcPr>
            <w:tcW w:type="dxa" w:w="524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iCs/>
                <w:color w:val="525252"/>
                <w:sz w:val="19"/>
                <w:szCs w:val="19"/>
              </w:rPr>
              <w:t xml:space="preserve">Scale, Depth, Skin in the Game &amp; Next Steps</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01  </w:t>
      </w:r>
      <w:r>
        <w:rPr>
          <w:rFonts w:ascii="Calibri" w:cs="Calibri" w:eastAsia="Calibri" w:hAnsi="Calibri"/>
          <w:b/>
          <w:bCs/>
          <w:i w:val="false"/>
          <w:iCs w:val="false"/>
          <w:color w:val="001141"/>
          <w:sz w:val="36"/>
          <w:szCs w:val="36"/>
        </w:rPr>
        <w:t xml:space="preserve">Executive Summary</w:t>
      </w:r>
    </w:p>
    <w:p>
      <w:pPr>
        <w:spacing w:after="160" w:before="0"/>
      </w:pPr>
      <w:r>
        <w:rPr>
          <w:rFonts w:ascii="Calibri" w:cs="Calibri" w:eastAsia="Calibri" w:hAnsi="Calibri"/>
          <w:b w:val="false"/>
          <w:bCs w:val="false"/>
          <w:i/>
          <w:iCs/>
          <w:color w:val="8D8D8D"/>
          <w:sz w:val="20"/>
          <w:szCs w:val="20"/>
        </w:rPr>
        <w:t xml:space="preserve">AI-First, Member-Centred Transformation of Application Management Services</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“A mother enrolling her newborn should not wait five days because two systems failed to sync. A provider submitting a prior auth should not chase a fax. A patient whose claim was wrongly denied should not navigate a phone tree to fix a system error. IBM is here to make those moments disappear.”</w:t>
      </w:r>
    </w:p>
    <w:p>
      <w:pPr>
        <w:spacing w:after="120" w:before="0"/>
        <w:jc w:val="right"/>
      </w:pPr>
      <w:r>
        <w:rPr>
          <w:rFonts w:ascii="Calibri" w:cs="Calibri" w:eastAsia="Calibri" w:hAnsi="Calibri"/>
          <w:b/>
          <w:bCs/>
          <w:i w:val="false"/>
          <w:iCs w:val="false"/>
          <w:color w:val="0F62FE"/>
          <w:sz w:val="18"/>
          <w:szCs w:val="18"/>
        </w:rPr>
        <w:t xml:space="preserve">— IBM Consulting, Healthcare &amp; Payer Delivery</w:t>
      </w:r>
    </w:p>
    <w:p>
      <w:pPr>
        <w:spacing w:after="80" w:before="200"/>
      </w:pPr>
      <w:r>
        <w:rPr>
          <w:rFonts w:ascii="Calibri" w:cs="Calibri" w:eastAsia="Calibri" w:hAnsi="Calibri"/>
          <w:b/>
          <w:bCs/>
          <w:i w:val="false"/>
          <w:iCs w:val="false"/>
          <w:color w:val="001141"/>
          <w:sz w:val="24"/>
          <w:szCs w:val="24"/>
        </w:rPr>
        <w:t xml:space="preserve">The Moment</w:t>
      </w:r>
    </w:p>
    <w:p>
      <w:pPr>
        <w:spacing w:after="100" w:before="0"/>
      </w:pPr>
      <w:r>
        <w:rPr>
          <w:rFonts w:ascii="Calibri" w:cs="Calibri" w:eastAsia="Calibri" w:hAnsi="Calibri"/>
          <w:b w:val="false"/>
          <w:bCs w:val="false"/>
          <w:i w:val="false"/>
          <w:iCs w:val="false"/>
          <w:color w:val="525252"/>
          <w:sz w:val="21"/>
          <w:szCs w:val="21"/>
        </w:rPr>
        <w:t xml:space="preserve">Horizon BCBS manages approximately 500+ applications spanning enrollment, claims adjudication, member services, and data platforms. The incumbent delivery model — reactive, labor-intensive, and fragmented across towers — is no longer sufficient to meet Horizon’s growth objectives, competitive imperatives, or the expectations of its 3.7 million members.</w:t>
      </w:r>
    </w:p>
    <w:p>
      <w:pPr>
        <w:spacing w:after="100" w:before="0"/>
      </w:pPr>
      <w:r>
        <w:rPr>
          <w:rFonts w:ascii="Calibri" w:cs="Calibri" w:eastAsia="Calibri" w:hAnsi="Calibri"/>
          <w:b w:val="false"/>
          <w:bCs w:val="false"/>
          <w:i w:val="false"/>
          <w:iCs w:val="false"/>
          <w:color w:val="525252"/>
          <w:sz w:val="21"/>
          <w:szCs w:val="21"/>
        </w:rPr>
        <w:t xml:space="preserve">Horizon is not looking for a faster version of today. Horizon is looking for a fundamentally different operating model — one where AI is the engine, quality is continuous, delivery is zero-touch, and every operational metric connects to a member, a provider, or a patient.</w:t>
      </w:r>
    </w:p>
    <w:p>
      <w:pPr>
        <w:spacing w:after="80" w:before="200"/>
      </w:pPr>
      <w:r>
        <w:rPr>
          <w:rFonts w:ascii="Calibri" w:cs="Calibri" w:eastAsia="Calibri" w:hAnsi="Calibri"/>
          <w:b/>
          <w:bCs/>
          <w:i w:val="false"/>
          <w:iCs w:val="false"/>
          <w:color w:val="001141"/>
          <w:sz w:val="24"/>
          <w:szCs w:val="24"/>
        </w:rPr>
        <w:t xml:space="preserve">What IBM Proposes</w:t>
      </w:r>
    </w:p>
    <w:p>
      <w:pPr>
        <w:spacing w:after="100" w:before="0"/>
      </w:pPr>
      <w:r>
        <w:rPr>
          <w:rFonts w:ascii="Calibri" w:cs="Calibri" w:eastAsia="Calibri" w:hAnsi="Calibri"/>
          <w:b w:val="false"/>
          <w:bCs w:val="false"/>
          <w:i w:val="false"/>
          <w:iCs w:val="false"/>
          <w:color w:val="525252"/>
          <w:sz w:val="21"/>
          <w:szCs w:val="21"/>
        </w:rPr>
        <w:t xml:space="preserve">IBM proposes a structured transition from reactive application support to a predictive, self-healing, continuously improving AI-first operating model — delivered through IBM’s proven Assets, Assistants, and Accelerators framework, and governed through an outcome-based accountability model that ties IBM’s performance directly to Horizon’s business results.</w:t>
      </w:r>
    </w:p>
    <w:p>
      <w:pPr>
        <w:spacing w:after="80" w:before="200"/>
      </w:pPr>
      <w:r>
        <w:rPr>
          <w:rFonts w:ascii="Calibri" w:cs="Calibri" w:eastAsia="Calibri" w:hAnsi="Calibri"/>
          <w:b/>
          <w:bCs/>
          <w:i w:val="false"/>
          <w:iCs w:val="false"/>
          <w:color w:val="001141"/>
          <w:sz w:val="24"/>
          <w:szCs w:val="24"/>
        </w:rPr>
        <w:t xml:space="preserve">Five Strategic Commitments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AI-First Operating Model — AI embedded across every layer of development, quality, and operations. Not bolted on. Built in.</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Tech Arbitrage over Labor Arbitrage — Compressing cost through automation and intelligence, not headcount.</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Outcome-Based Delivery — Committed SLAs tied to measurable business outcomes. IBM’s success is Horizon’s success.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Zero-Disruption Transition — Risk-free phased delivery protecting operational continuity from Day 1.</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Agentic by Core — AI agents that detect, triage, diagnose, resolve, and learn — compounding intelligence with every incident.</w:t>
      </w:r>
    </w:p>
    <w:p>
      <w:pPr>
        <w:spacing w:after="80" w:before="200"/>
      </w:pPr>
      <w:r>
        <w:rPr>
          <w:rFonts w:ascii="Calibri" w:cs="Calibri" w:eastAsia="Calibri" w:hAnsi="Calibri"/>
          <w:b/>
          <w:bCs/>
          <w:i w:val="false"/>
          <w:iCs w:val="false"/>
          <w:color w:val="001141"/>
          <w:sz w:val="24"/>
          <w:szCs w:val="24"/>
        </w:rPr>
        <w:t xml:space="preserve">IBM’s Scale Behind This Proposal</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20,000+ AI &amp; data practitioners globally.</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81,000+ cloud &amp; architecture experts across IBM Consulting.</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40,000+ AI &amp; analytics engagements delivered for global clients.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15,000+ delivery professionals across 40 global delivery centers.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IBM’s Client-0 AI programme saved IBM approximately $3.4B USD — the same model applied here.</w:t>
      </w:r>
    </w:p>
    <w:p>
      <w:pPr>
        <w:spacing w:after="160" w:before="0"/>
      </w:pPr>
      <w:r>
        <w:rPr>
          <w:rFonts w:ascii="Calibri" w:cs="Calibri" w:eastAsia="Calibri" w:hAnsi="Calibri"/>
          <w:sz w:val="12"/>
          <w:szCs w:val="12"/>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F62FE"/>
                <w:sz w:val="56"/>
                <w:szCs w:val="56"/>
              </w:rPr>
              <w:t xml:space="preserve">500+</w:t>
            </w:r>
          </w:p>
          <w:p>
            <w:pPr>
              <w:spacing w:after="160" w:before="0"/>
              <w:jc w:val="center"/>
            </w:pPr>
            <w:r>
              <w:rPr>
                <w:rFonts w:ascii="Calibri" w:cs="Calibri" w:eastAsia="Calibri" w:hAnsi="Calibri"/>
                <w:b/>
                <w:bCs/>
                <w:i w:val="false"/>
                <w:iCs w:val="false"/>
                <w:color w:val="001141"/>
                <w:sz w:val="19"/>
                <w:szCs w:val="19"/>
              </w:rPr>
              <w:t xml:space="preserve">Applications in Scope</w:t>
            </w:r>
          </w:p>
        </w:tc>
        <w:tc>
          <w:tcPr>
            <w:tcW w:type="dxa" w:w="2340"/>
            <w:tcBorders>
              <w:top w:val="single" w:color="0043C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43CE"/>
                <w:sz w:val="56"/>
                <w:szCs w:val="56"/>
              </w:rPr>
              <w:t xml:space="preserve">Day 1</w:t>
            </w:r>
          </w:p>
          <w:p>
            <w:pPr>
              <w:spacing w:after="160" w:before="0"/>
              <w:jc w:val="center"/>
            </w:pPr>
            <w:r>
              <w:rPr>
                <w:rFonts w:ascii="Calibri" w:cs="Calibri" w:eastAsia="Calibri" w:hAnsi="Calibri"/>
                <w:b/>
                <w:bCs/>
                <w:i w:val="false"/>
                <w:iCs w:val="false"/>
                <w:color w:val="001141"/>
                <w:sz w:val="19"/>
                <w:szCs w:val="19"/>
              </w:rPr>
              <w:t xml:space="preserve">Efficiencies &amp; Cost Takeout</w:t>
            </w:r>
          </w:p>
        </w:tc>
        <w:tc>
          <w:tcPr>
            <w:tcW w:type="dxa" w:w="2340"/>
            <w:tcBorders>
              <w:top w:val="single" w:color="007D79"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7D79"/>
                <w:sz w:val="56"/>
                <w:szCs w:val="56"/>
              </w:rPr>
              <w:t xml:space="preserve">24×7</w:t>
            </w:r>
          </w:p>
          <w:p>
            <w:pPr>
              <w:spacing w:after="160" w:before="0"/>
              <w:jc w:val="center"/>
            </w:pPr>
            <w:r>
              <w:rPr>
                <w:rFonts w:ascii="Calibri" w:cs="Calibri" w:eastAsia="Calibri" w:hAnsi="Calibri"/>
                <w:b/>
                <w:bCs/>
                <w:i w:val="false"/>
                <w:iCs w:val="false"/>
                <w:color w:val="001141"/>
                <w:sz w:val="19"/>
                <w:szCs w:val="19"/>
              </w:rPr>
              <w:t xml:space="preserve">Global AIOps Coverage</w:t>
            </w:r>
          </w:p>
        </w:tc>
        <w:tc>
          <w:tcPr>
            <w:tcW w:type="dxa" w:w="2340"/>
            <w:tcBorders>
              <w:top w:val="single" w:color="6929C4"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6929C4"/>
                <w:sz w:val="56"/>
                <w:szCs w:val="56"/>
              </w:rPr>
              <w:t xml:space="preserve">AI-First</w:t>
            </w:r>
          </w:p>
          <w:p>
            <w:pPr>
              <w:spacing w:after="160" w:before="0"/>
              <w:jc w:val="center"/>
            </w:pPr>
            <w:r>
              <w:rPr>
                <w:rFonts w:ascii="Calibri" w:cs="Calibri" w:eastAsia="Calibri" w:hAnsi="Calibri"/>
                <w:b/>
                <w:bCs/>
                <w:i w:val="false"/>
                <w:iCs w:val="false"/>
                <w:color w:val="001141"/>
                <w:sz w:val="19"/>
                <w:szCs w:val="19"/>
              </w:rPr>
              <w:t xml:space="preserve">Agentic by Core</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02  </w:t>
      </w:r>
      <w:r>
        <w:rPr>
          <w:rFonts w:ascii="Calibri" w:cs="Calibri" w:eastAsia="Calibri" w:hAnsi="Calibri"/>
          <w:b/>
          <w:bCs/>
          <w:i w:val="false"/>
          <w:iCs w:val="false"/>
          <w:color w:val="001141"/>
          <w:sz w:val="36"/>
          <w:szCs w:val="36"/>
        </w:rPr>
        <w:t xml:space="preserve">The Delivery Imperative</w:t>
      </w:r>
    </w:p>
    <w:p>
      <w:pPr>
        <w:spacing w:after="160" w:before="0"/>
      </w:pPr>
      <w:r>
        <w:rPr>
          <w:rFonts w:ascii="Calibri" w:cs="Calibri" w:eastAsia="Calibri" w:hAnsi="Calibri"/>
          <w:b w:val="false"/>
          <w:bCs w:val="false"/>
          <w:i/>
          <w:iCs/>
          <w:color w:val="8D8D8D"/>
          <w:sz w:val="20"/>
          <w:szCs w:val="20"/>
        </w:rPr>
        <w:t xml:space="preserve">Why Horizon Needs a New Operating Model — and Why Now</w:t>
      </w:r>
    </w:p>
    <w:p>
      <w:pPr>
        <w:spacing w:after="80" w:before="200"/>
      </w:pPr>
      <w:r>
        <w:rPr>
          <w:rFonts w:ascii="Calibri" w:cs="Calibri" w:eastAsia="Calibri" w:hAnsi="Calibri"/>
          <w:b/>
          <w:bCs/>
          <w:i w:val="false"/>
          <w:iCs w:val="false"/>
          <w:color w:val="001141"/>
          <w:sz w:val="24"/>
          <w:szCs w:val="24"/>
        </w:rPr>
        <w:t xml:space="preserve">What Horizon Needs</w:t>
      </w:r>
    </w:p>
    <w:p>
      <w:pPr>
        <w:spacing w:after="100" w:before="0"/>
      </w:pPr>
      <w:r>
        <w:rPr>
          <w:rFonts w:ascii="Calibri" w:cs="Calibri" w:eastAsia="Calibri" w:hAnsi="Calibri"/>
          <w:b w:val="false"/>
          <w:bCs w:val="false"/>
          <w:i w:val="false"/>
          <w:iCs w:val="false"/>
          <w:color w:val="525252"/>
          <w:sz w:val="21"/>
          <w:szCs w:val="21"/>
        </w:rPr>
        <w:t xml:space="preserve">Horizon BCBS is seeking the right strategic partner to enhance and support its Application Development, Maintenance, Data, and Testing Services — with a clear focus on AI solutions and expertise native to the Horizon environment.</w:t>
      </w:r>
    </w:p>
    <w:p>
      <w:pPr>
        <w:spacing w:after="80" w:before="200"/>
      </w:pPr>
      <w:r>
        <w:rPr>
          <w:rFonts w:ascii="Calibri" w:cs="Calibri" w:eastAsia="Calibri" w:hAnsi="Calibri"/>
          <w:b/>
          <w:bCs/>
          <w:i w:val="false"/>
          <w:iCs w:val="false"/>
          <w:color w:val="001141"/>
          <w:sz w:val="24"/>
          <w:szCs w:val="24"/>
        </w:rPr>
        <w:t xml:space="preserve">Service Transformation Goals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High-quality services delivered through AI and automation to achieve operational efficiencies.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Realization of a product-oriented operating model aligned to business domains.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Focused automation — especially in testing and quality engineering — to measurably reduce cost.</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AI tools to drive Agile application modernization across the portfolio.</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Consultative support applying deep healthcare payer best practices.</w:t>
      </w:r>
    </w:p>
    <w:p>
      <w:pPr>
        <w:spacing w:after="80" w:before="200"/>
      </w:pPr>
      <w:r>
        <w:rPr>
          <w:rFonts w:ascii="Calibri" w:cs="Calibri" w:eastAsia="Calibri" w:hAnsi="Calibri"/>
          <w:b/>
          <w:bCs/>
          <w:i w:val="false"/>
          <w:iCs w:val="false"/>
          <w:color w:val="001141"/>
          <w:sz w:val="24"/>
          <w:szCs w:val="24"/>
        </w:rPr>
        <w:t xml:space="preserve">Cost Structure Expectations</w:t>
      </w:r>
    </w:p>
    <w:p>
      <w:pPr>
        <w:spacing w:after="100" w:before="0"/>
      </w:pPr>
      <w:r>
        <w:rPr>
          <w:rFonts w:ascii="Calibri" w:cs="Calibri" w:eastAsia="Calibri" w:hAnsi="Calibri"/>
          <w:b w:val="false"/>
          <w:bCs w:val="false"/>
          <w:i w:val="false"/>
          <w:iCs w:val="false"/>
          <w:color w:val="525252"/>
          <w:sz w:val="21"/>
          <w:szCs w:val="21"/>
        </w:rPr>
        <w:t xml:space="preserve">Horizon expects structural cost reduction — not just efficiency gains. The fixed baseline model signals a clear expectation: year-over-year productivity improvements and cost takeout driven by automation and AI, not rate arbitrage.</w:t>
      </w:r>
    </w:p>
    <w:p>
      <w:pPr>
        <w:spacing w:after="80" w:before="200"/>
      </w:pPr>
      <w:r>
        <w:rPr>
          <w:rFonts w:ascii="Calibri" w:cs="Calibri" w:eastAsia="Calibri" w:hAnsi="Calibri"/>
          <w:b/>
          <w:bCs/>
          <w:i w:val="false"/>
          <w:iCs w:val="false"/>
          <w:color w:val="001141"/>
          <w:sz w:val="24"/>
          <w:szCs w:val="24"/>
        </w:rPr>
        <w:t xml:space="preserve">Factors That Shaped IBM’s Solution</w:t>
      </w:r>
    </w:p>
    <w:p>
      <w:pPr>
        <w:spacing w:after="40" w:before="120"/>
      </w:pPr>
      <w:r>
        <w:rPr>
          <w:rFonts w:ascii="Calibri" w:cs="Calibri" w:eastAsia="Calibri" w:hAnsi="Calibri"/>
          <w:b/>
          <w:bCs/>
          <w:i w:val="false"/>
          <w:iCs w:val="false"/>
          <w:color w:val="0F62FE"/>
          <w:sz w:val="21"/>
          <w:szCs w:val="21"/>
        </w:rPr>
        <w:t xml:space="preserve">End-to-End Integrated Delivery</w:t>
      </w:r>
    </w:p>
    <w:p>
      <w:pPr>
        <w:spacing w:after="100" w:before="0"/>
      </w:pPr>
      <w:r>
        <w:rPr>
          <w:rFonts w:ascii="Calibri" w:cs="Calibri" w:eastAsia="Calibri" w:hAnsi="Calibri"/>
          <w:b w:val="false"/>
          <w:bCs w:val="false"/>
          <w:i w:val="false"/>
          <w:iCs w:val="false"/>
          <w:color w:val="525252"/>
          <w:sz w:val="21"/>
          <w:szCs w:val="21"/>
        </w:rPr>
        <w:t xml:space="preserve">A unified operating model across Application Maintenance, Development, Testing, and Data — reducing fragmentation and improving accountability across the full lifecycle.</w:t>
      </w:r>
    </w:p>
    <w:p>
      <w:pPr>
        <w:spacing w:after="40" w:before="120"/>
      </w:pPr>
      <w:r>
        <w:rPr>
          <w:rFonts w:ascii="Calibri" w:cs="Calibri" w:eastAsia="Calibri" w:hAnsi="Calibri"/>
          <w:b/>
          <w:bCs/>
          <w:i w:val="false"/>
          <w:iCs w:val="false"/>
          <w:color w:val="0F62FE"/>
          <w:sz w:val="21"/>
          <w:szCs w:val="21"/>
        </w:rPr>
        <w:t xml:space="preserve">AI at the Core — Not Bolted On</w:t>
      </w:r>
    </w:p>
    <w:p>
      <w:pPr>
        <w:spacing w:after="100" w:before="0"/>
      </w:pPr>
      <w:r>
        <w:rPr>
          <w:rFonts w:ascii="Calibri" w:cs="Calibri" w:eastAsia="Calibri" w:hAnsi="Calibri"/>
          <w:b w:val="false"/>
          <w:bCs w:val="false"/>
          <w:i w:val="false"/>
          <w:iCs w:val="false"/>
          <w:color w:val="525252"/>
          <w:sz w:val="21"/>
          <w:szCs w:val="21"/>
        </w:rPr>
        <w:t xml:space="preserve">AI is embedded in triage, root cause analysis, resolution, test automation, and continuous validation — from the first day of delivery.</w:t>
      </w:r>
    </w:p>
    <w:p>
      <w:pPr>
        <w:spacing w:after="40" w:before="120"/>
      </w:pPr>
      <w:r>
        <w:rPr>
          <w:rFonts w:ascii="Calibri" w:cs="Calibri" w:eastAsia="Calibri" w:hAnsi="Calibri"/>
          <w:b/>
          <w:bCs/>
          <w:i w:val="false"/>
          <w:iCs w:val="false"/>
          <w:color w:val="0F62FE"/>
          <w:sz w:val="21"/>
          <w:szCs w:val="21"/>
        </w:rPr>
        <w:t xml:space="preserve">Transition Without Disruption</w:t>
      </w:r>
    </w:p>
    <w:p>
      <w:pPr>
        <w:spacing w:after="100" w:before="0"/>
      </w:pPr>
      <w:r>
        <w:rPr>
          <w:rFonts w:ascii="Calibri" w:cs="Calibri" w:eastAsia="Calibri" w:hAnsi="Calibri"/>
          <w:b w:val="false"/>
          <w:bCs w:val="false"/>
          <w:i w:val="false"/>
          <w:iCs w:val="false"/>
          <w:color w:val="525252"/>
          <w:sz w:val="21"/>
          <w:szCs w:val="21"/>
        </w:rPr>
        <w:t xml:space="preserve">IBM’s phased transition approach maintains seamless service continuity while progressively modernizing the underlying operating model.</w:t>
      </w:r>
    </w:p>
    <w:p>
      <w:pPr>
        <w:spacing w:after="40" w:before="120"/>
      </w:pPr>
      <w:r>
        <w:rPr>
          <w:rFonts w:ascii="Calibri" w:cs="Calibri" w:eastAsia="Calibri" w:hAnsi="Calibri"/>
          <w:b/>
          <w:bCs/>
          <w:i w:val="false"/>
          <w:iCs w:val="false"/>
          <w:color w:val="0F62FE"/>
          <w:sz w:val="21"/>
          <w:szCs w:val="21"/>
        </w:rPr>
        <w:t xml:space="preserve">Open, Elastic Architecture</w:t>
      </w:r>
    </w:p>
    <w:p>
      <w:pPr>
        <w:spacing w:after="100" w:before="0"/>
      </w:pPr>
      <w:r>
        <w:rPr>
          <w:rFonts w:ascii="Calibri" w:cs="Calibri" w:eastAsia="Calibri" w:hAnsi="Calibri"/>
          <w:b w:val="false"/>
          <w:bCs w:val="false"/>
          <w:i w:val="false"/>
          <w:iCs w:val="false"/>
          <w:color w:val="525252"/>
          <w:sz w:val="21"/>
          <w:szCs w:val="21"/>
        </w:rPr>
        <w:t xml:space="preserve">Plug-and-play architecture deploys on Horizon’s existing AWS stack — avoiding lock-in and enabling flexibility across cloud ecosystems.</w:t>
      </w:r>
    </w:p>
    <w:p>
      <w:pPr>
        <w:spacing w:after="80" w:before="0"/>
      </w:pPr>
      <w:r>
        <w:rPr>
          <w:rFonts w:ascii="Calibri" w:cs="Calibri" w:eastAsia="Calibri" w:hAnsi="Calibri"/>
          <w:sz w:val="12"/>
          <w:szCs w:val="12"/>
        </w:rPr>
        <w:t xml:space="preserve"/>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“IBM’s solution shifts Horizon from reactive incident management to predictive, autonomous operations — where the member never feels the friction and the provider never waits.”</w:t>
      </w:r>
    </w:p>
    <w:p>
      <w:pPr>
        <w:spacing w:after="10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Current State vs. IBM Target — Key Operational Metrics</w:t>
      </w:r>
    </w:p>
    <w:p>
      <w:pPr>
        <w:spacing w:after="120" w:before="0"/>
      </w:pPr>
      <w:r>
        <w:rPr>
          <w:rFonts w:ascii="Calibri" w:cs="Calibri" w:eastAsia="Calibri" w:hAnsi="Calibri"/>
          <w:b w:val="false"/>
          <w:bCs w:val="false"/>
          <w:i/>
          <w:iCs/>
          <w:color w:val="8D8D8D"/>
          <w:sz w:val="19"/>
          <w:szCs w:val="19"/>
        </w:rPr>
        <w:t xml:space="preserve">All current-state estimates are directional and will be formally baselined during SOW phase. IBM’s committed targets will be contractually agreed at programme commencement.</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3370"/>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Operational Metric</w:t>
            </w:r>
          </w:p>
        </w:tc>
        <w:tc>
          <w:tcPr>
            <w:tcW w:type="dxa" w:w="1872"/>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Current State</w:t>
            </w:r>
          </w:p>
        </w:tc>
        <w:tc>
          <w:tcPr>
            <w:tcW w:type="dxa" w:w="2246"/>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IBM 12-Month Target</w:t>
            </w:r>
          </w:p>
        </w:tc>
        <w:tc>
          <w:tcPr>
            <w:tcW w:type="dxa" w:w="1872"/>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Direction</w:t>
            </w:r>
          </w:p>
        </w:tc>
      </w:tr>
      <w:tr>
        <w:tc>
          <w:tcPr>
            <w:tcW w:type="dxa" w:w="3370"/>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Test Automation Coverage</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~25%</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80%+</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+3×</w:t>
            </w:r>
          </w:p>
        </w:tc>
      </w:tr>
      <w:tr>
        <w:tc>
          <w:tcPr>
            <w:tcW w:type="dxa" w:w="3370"/>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MTTR (Mean Time to Resolve)</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&gt; 4 hours</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&lt; 1.8 hours</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55%</w:t>
            </w:r>
          </w:p>
        </w:tc>
      </w:tr>
      <w:tr>
        <w:tc>
          <w:tcPr>
            <w:tcW w:type="dxa" w:w="3370"/>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Defect Escape to Production</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High / Untracked</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65% Reduction</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Best-in-class</w:t>
            </w:r>
          </w:p>
        </w:tc>
      </w:tr>
      <w:tr>
        <w:tc>
          <w:tcPr>
            <w:tcW w:type="dxa" w:w="3370"/>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Incident P3/P4 Auto-Resolution</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&lt; 10%</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&gt; 74%</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7×</w:t>
            </w:r>
          </w:p>
        </w:tc>
      </w:tr>
      <w:tr>
        <w:tc>
          <w:tcPr>
            <w:tcW w:type="dxa" w:w="3370"/>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Regression Cycle Time</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Multi-day manual</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70% Faster</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Automated</w:t>
            </w:r>
          </w:p>
        </w:tc>
      </w:tr>
      <w:tr>
        <w:tc>
          <w:tcPr>
            <w:tcW w:type="dxa" w:w="3370"/>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Alert Noise per Shift</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Unfiltered</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&gt; 60% Reduced</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AI-filtered</w:t>
            </w:r>
          </w:p>
        </w:tc>
      </w:tr>
      <w:tr>
        <w:tc>
          <w:tcPr>
            <w:tcW w:type="dxa" w:w="3370"/>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Enrollment Error Ticket Rate</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High / Reactive</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~110 tickets/mo saved</w:t>
            </w:r>
          </w:p>
        </w:tc>
        <w:tc>
          <w:tcPr>
            <w:tcW w:type="dxa" w:w="1872"/>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Zero-touch</w:t>
            </w:r>
          </w:p>
        </w:tc>
      </w:tr>
      <w:tr>
        <w:tc>
          <w:tcPr>
            <w:tcW w:type="dxa" w:w="3370"/>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System Availability (AMS)</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20"/>
                <w:szCs w:val="20"/>
              </w:rPr>
              <w:t xml:space="preserve">~99.7%</w:t>
            </w:r>
          </w:p>
        </w:tc>
        <w:tc>
          <w:tcPr>
            <w:tcW w:type="dxa" w:w="2246"/>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99.9%+</w:t>
            </w:r>
          </w:p>
        </w:tc>
        <w:tc>
          <w:tcPr>
            <w:tcW w:type="dxa" w:w="1872"/>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 AI-ops</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03  </w:t>
      </w:r>
      <w:r>
        <w:rPr>
          <w:rFonts w:ascii="Calibri" w:cs="Calibri" w:eastAsia="Calibri" w:hAnsi="Calibri"/>
          <w:b/>
          <w:bCs/>
          <w:i w:val="false"/>
          <w:iCs w:val="false"/>
          <w:color w:val="001141"/>
          <w:sz w:val="36"/>
          <w:szCs w:val="36"/>
        </w:rPr>
        <w:t xml:space="preserve">AI-First Application Development</w:t>
      </w:r>
    </w:p>
    <w:p>
      <w:pPr>
        <w:spacing w:after="160" w:before="0"/>
      </w:pPr>
      <w:r>
        <w:rPr>
          <w:rFonts w:ascii="Calibri" w:cs="Calibri" w:eastAsia="Calibri" w:hAnsi="Calibri"/>
          <w:b w:val="false"/>
          <w:bCs w:val="false"/>
          <w:i/>
          <w:iCs/>
          <w:color w:val="8D8D8D"/>
          <w:sz w:val="20"/>
          <w:szCs w:val="20"/>
        </w:rPr>
        <w:t xml:space="preserve">Agentic Engineering, Risk-Scored Pipelines &amp; Domain-Aligned Product Squads</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“When a member’s enrollment takes two weeks because a downstream application is slow, that is not a technology problem — that is a trust problem. Every sprint IBM delivers is measured by whether that member’s experience got better.”</w:t>
      </w:r>
    </w:p>
    <w:p>
      <w:pPr>
        <w:spacing w:after="120" w:before="0"/>
        <w:jc w:val="right"/>
      </w:pPr>
      <w:r>
        <w:rPr>
          <w:rFonts w:ascii="Calibri" w:cs="Calibri" w:eastAsia="Calibri" w:hAnsi="Calibri"/>
          <w:b/>
          <w:bCs/>
          <w:i w:val="false"/>
          <w:iCs w:val="false"/>
          <w:color w:val="0F62FE"/>
          <w:sz w:val="18"/>
          <w:szCs w:val="18"/>
        </w:rPr>
        <w:t xml:space="preserve">— IBM Consulting — Member Experience Engineering</w:t>
      </w:r>
    </w:p>
    <w:p>
      <w:pPr>
        <w:spacing w:after="80" w:before="200"/>
      </w:pPr>
      <w:r>
        <w:rPr>
          <w:rFonts w:ascii="Calibri" w:cs="Calibri" w:eastAsia="Calibri" w:hAnsi="Calibri"/>
          <w:b/>
          <w:bCs/>
          <w:i w:val="false"/>
          <w:iCs w:val="false"/>
          <w:color w:val="001141"/>
          <w:sz w:val="24"/>
          <w:szCs w:val="24"/>
        </w:rPr>
        <w:t xml:space="preserve">AI-Augmented Development Model</w:t>
      </w:r>
    </w:p>
    <w:p>
      <w:pPr>
        <w:spacing w:after="100" w:before="0"/>
      </w:pPr>
      <w:r>
        <w:rPr>
          <w:rFonts w:ascii="Calibri" w:cs="Calibri" w:eastAsia="Calibri" w:hAnsi="Calibri"/>
          <w:b w:val="false"/>
          <w:bCs w:val="false"/>
          <w:i w:val="false"/>
          <w:iCs w:val="false"/>
          <w:color w:val="525252"/>
          <w:sz w:val="21"/>
          <w:szCs w:val="21"/>
        </w:rPr>
        <w:t xml:space="preserve">IBM transforms Horizon’s engineering model from a traditional project-centric approach to a modern, product-centric engineering organization — powered by IBM Consulting Advantage accelerators and reusable enterprise assets. AI is not an add-on to the development process. AI is the development process.</w:t>
      </w:r>
    </w:p>
    <w:p>
      <w:pPr>
        <w:spacing w:after="40" w:before="120"/>
      </w:pPr>
      <w:r>
        <w:rPr>
          <w:rFonts w:ascii="Calibri" w:cs="Calibri" w:eastAsia="Calibri" w:hAnsi="Calibri"/>
          <w:b/>
          <w:bCs/>
          <w:i w:val="false"/>
          <w:iCs w:val="false"/>
          <w:color w:val="0F62FE"/>
          <w:sz w:val="21"/>
          <w:szCs w:val="21"/>
        </w:rPr>
        <w:t xml:space="preserve">AI-Assisted Development</w:t>
      </w:r>
    </w:p>
    <w:p>
      <w:pPr>
        <w:spacing w:after="100" w:before="0"/>
      </w:pPr>
      <w:r>
        <w:rPr>
          <w:rFonts w:ascii="Calibri" w:cs="Calibri" w:eastAsia="Calibri" w:hAnsi="Calibri"/>
          <w:b w:val="false"/>
          <w:bCs w:val="false"/>
          <w:i w:val="false"/>
          <w:iCs w:val="false"/>
          <w:color w:val="525252"/>
          <w:sz w:val="21"/>
          <w:szCs w:val="21"/>
        </w:rPr>
        <w:t xml:space="preserve">Generative AI tools accelerate code generation, review, documentation, and optimization. Developer throughput increases 25–35% without adding headcount. Every engineer spends more time on high-value problem-solving and less on repetitive scaffolding.</w:t>
      </w:r>
    </w:p>
    <w:p>
      <w:pPr>
        <w:spacing w:after="40" w:before="120"/>
      </w:pPr>
      <w:r>
        <w:rPr>
          <w:rFonts w:ascii="Calibri" w:cs="Calibri" w:eastAsia="Calibri" w:hAnsi="Calibri"/>
          <w:b/>
          <w:bCs/>
          <w:i w:val="false"/>
          <w:iCs w:val="false"/>
          <w:color w:val="0F62FE"/>
          <w:sz w:val="21"/>
          <w:szCs w:val="21"/>
        </w:rPr>
        <w:t xml:space="preserve">DevSecOps Integration</w:t>
      </w:r>
    </w:p>
    <w:p>
      <w:pPr>
        <w:spacing w:after="100" w:before="0"/>
      </w:pPr>
      <w:r>
        <w:rPr>
          <w:rFonts w:ascii="Calibri" w:cs="Calibri" w:eastAsia="Calibri" w:hAnsi="Calibri"/>
          <w:b w:val="false"/>
          <w:bCs w:val="false"/>
          <w:i w:val="false"/>
          <w:iCs w:val="false"/>
          <w:color w:val="525252"/>
          <w:sz w:val="21"/>
          <w:szCs w:val="21"/>
        </w:rPr>
        <w:t xml:space="preserve">Security is embedded left into CI/CD pipelines. Automated vulnerability scanning runs at every stage. Compliance gates and policy enforcement operate from commit to production — no manual security review bottlenecks.</w:t>
      </w:r>
    </w:p>
    <w:p>
      <w:pPr>
        <w:spacing w:after="40" w:before="120"/>
      </w:pPr>
      <w:r>
        <w:rPr>
          <w:rFonts w:ascii="Calibri" w:cs="Calibri" w:eastAsia="Calibri" w:hAnsi="Calibri"/>
          <w:b/>
          <w:bCs/>
          <w:i w:val="false"/>
          <w:iCs w:val="false"/>
          <w:color w:val="0F62FE"/>
          <w:sz w:val="21"/>
          <w:szCs w:val="21"/>
        </w:rPr>
        <w:t xml:space="preserve">Domain-Aligned Product Squads</w:t>
      </w:r>
    </w:p>
    <w:p>
      <w:pPr>
        <w:spacing w:after="100" w:before="0"/>
      </w:pPr>
      <w:r>
        <w:rPr>
          <w:rFonts w:ascii="Calibri" w:cs="Calibri" w:eastAsia="Calibri" w:hAnsi="Calibri"/>
          <w:b w:val="false"/>
          <w:bCs w:val="false"/>
          <w:i w:val="false"/>
          <w:iCs w:val="false"/>
          <w:color w:val="525252"/>
          <w:sz w:val="21"/>
          <w:szCs w:val="21"/>
        </w:rPr>
        <w:t xml:space="preserve">Teams align to Horizon’s business domains — Claims, Enrollment, Member Services, Provider Operations. Context stays with the squad. Handoff overhead disappears. Accountability is end-to-end.</w:t>
      </w:r>
    </w:p>
    <w:p>
      <w:pPr>
        <w:spacing w:after="40" w:before="120"/>
      </w:pPr>
      <w:r>
        <w:rPr>
          <w:rFonts w:ascii="Calibri" w:cs="Calibri" w:eastAsia="Calibri" w:hAnsi="Calibri"/>
          <w:b/>
          <w:bCs/>
          <w:i w:val="false"/>
          <w:iCs w:val="false"/>
          <w:color w:val="0F62FE"/>
          <w:sz w:val="21"/>
          <w:szCs w:val="21"/>
        </w:rPr>
        <w:t xml:space="preserve">Risk-Scored Automated Releases</w:t>
      </w:r>
    </w:p>
    <w:p>
      <w:pPr>
        <w:spacing w:after="100" w:before="0"/>
      </w:pPr>
      <w:r>
        <w:rPr>
          <w:rFonts w:ascii="Calibri" w:cs="Calibri" w:eastAsia="Calibri" w:hAnsi="Calibri"/>
          <w:b w:val="false"/>
          <w:bCs w:val="false"/>
          <w:i w:val="false"/>
          <w:iCs w:val="false"/>
          <w:color w:val="525252"/>
          <w:sz w:val="21"/>
          <w:szCs w:val="21"/>
        </w:rPr>
        <w:t xml:space="preserve">Every deployment passes through AI-scored gates: security posture, test coverage, performance regression, and historical failure patterns. Low-risk changes deploy without human approval cycles. High-risk changes trigger additional validation — automatically.</w:t>
      </w:r>
    </w:p>
    <w:p>
      <w:pPr>
        <w:spacing w:after="80" w:before="0"/>
      </w:pPr>
      <w:r>
        <w:rPr>
          <w:rFonts w:ascii="Calibri" w:cs="Calibri" w:eastAsia="Calibri" w:hAnsi="Calibri"/>
          <w:sz w:val="12"/>
          <w:szCs w:val="12"/>
        </w:rPr>
        <w:t xml:space="preserve"/>
      </w:r>
    </w:p>
    <w:p>
      <w:pPr>
        <w:shd w:fill="EBF2FF" w:val="clear"/>
        <w:spacing w:after="120" w:before="120"/>
        <w:ind w:left="360" w:right="360"/>
      </w:pPr>
      <w:r>
        <w:rPr>
          <w:rFonts w:ascii="Calibri" w:cs="Calibri" w:eastAsia="Calibri" w:hAnsi="Calibri"/>
          <w:b/>
          <w:bCs/>
          <w:i w:val="false"/>
          <w:iCs w:val="false"/>
          <w:color w:val="001141"/>
          <w:sz w:val="21"/>
          <w:szCs w:val="21"/>
        </w:rPr>
        <w:t xml:space="preserve">Target: 25–40% faster time to market across Horizon’s application development portfolio within 12 months of full deployment.</w:t>
      </w:r>
    </w:p>
    <w:p>
      <w:pPr>
        <w:spacing w:after="12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Development Efficiency Gains</w:t>
      </w:r>
    </w:p>
    <w:p>
      <w:pPr>
        <w:spacing w:after="120" w:before="0"/>
      </w:pPr>
      <w:r>
        <w:rPr>
          <w:rFonts w:ascii="Calibri" w:cs="Calibri" w:eastAsia="Calibri" w:hAnsi="Calibri"/>
          <w:b w:val="false"/>
          <w:bCs w:val="false"/>
          <w:i/>
          <w:iCs/>
          <w:color w:val="8D8D8D"/>
          <w:sz w:val="19"/>
          <w:szCs w:val="19"/>
        </w:rPr>
        <w:t xml:space="preserve">Measured improvement vs. traditional delivery model at comparable payer engagements: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AI-assisted code generation</w:t>
            </w:r>
          </w:p>
        </w:tc>
        <w:tc>
          <w:tcPr>
            <w:tcW w:type="dxa" w:w="4320"/>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12"/>
                <w:szCs w:val="12"/>
              </w:rPr>
              <w:t xml:space="preserve"/>
            </w:r>
          </w:p>
        </w:tc>
        <w:tc>
          <w:tcPr>
            <w:tcW w:type="dxa" w:w="108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F62FE"/>
                <w:sz w:val="19"/>
                <w:szCs w:val="19"/>
              </w:rPr>
              <w:t xml:space="preserve">+30% capacity</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Automated QE test synthesis</w:t>
            </w:r>
          </w:p>
        </w:tc>
        <w:tc>
          <w:tcPr>
            <w:tcW w:type="dxa" w:w="4050"/>
            <w:tcBorders>
              <w:top w:val="none" w:color="auto" w:sz="0"/>
              <w:left w:val="none" w:color="auto" w:sz="0"/>
              <w:bottom w:val="none" w:color="auto" w:sz="0"/>
              <w:right w:val="none" w:color="auto" w:sz="0"/>
            </w:tcBorders>
            <w:shd w:fill="007D79" w:val="clear"/>
          </w:tcPr>
          <w:p>
            <w:pPr>
              <w:spacing w:after="0" w:before="0"/>
            </w:pPr>
            <w:r>
              <w:rPr>
                <w:rFonts w:ascii="Calibri" w:cs="Calibri" w:eastAsia="Calibri" w:hAnsi="Calibri"/>
                <w:sz w:val="12"/>
                <w:szCs w:val="12"/>
              </w:rPr>
              <w:t xml:space="preserve"/>
            </w:r>
          </w:p>
        </w:tc>
        <w:tc>
          <w:tcPr>
            <w:tcW w:type="dxa" w:w="135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07D79"/>
                <w:sz w:val="19"/>
                <w:szCs w:val="19"/>
              </w:rPr>
              <w:t xml:space="preserve">+25% QE speed</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Risk-scored deployment pipeline</w:t>
            </w:r>
          </w:p>
        </w:tc>
        <w:tc>
          <w:tcPr>
            <w:tcW w:type="dxa" w:w="378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12"/>
                <w:szCs w:val="12"/>
              </w:rPr>
              <w:t xml:space="preserve"/>
            </w:r>
          </w:p>
        </w:tc>
        <w:tc>
          <w:tcPr>
            <w:tcW w:type="dxa" w:w="162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043CE"/>
                <w:sz w:val="19"/>
                <w:szCs w:val="19"/>
              </w:rPr>
              <w:t xml:space="preserve">−60% failures</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Domain squad alignment</w:t>
            </w:r>
          </w:p>
        </w:tc>
        <w:tc>
          <w:tcPr>
            <w:tcW w:type="dxa" w:w="3510"/>
            <w:tcBorders>
              <w:top w:val="none" w:color="auto" w:sz="0"/>
              <w:left w:val="none" w:color="auto" w:sz="0"/>
              <w:bottom w:val="none" w:color="auto" w:sz="0"/>
              <w:right w:val="none" w:color="auto" w:sz="0"/>
            </w:tcBorders>
            <w:shd w:fill="6929C4" w:val="clear"/>
          </w:tcPr>
          <w:p>
            <w:pPr>
              <w:spacing w:after="0" w:before="0"/>
            </w:pPr>
            <w:r>
              <w:rPr>
                <w:rFonts w:ascii="Calibri" w:cs="Calibri" w:eastAsia="Calibri" w:hAnsi="Calibri"/>
                <w:sz w:val="12"/>
                <w:szCs w:val="12"/>
              </w:rPr>
              <w:t xml:space="preserve"/>
            </w:r>
          </w:p>
        </w:tc>
        <w:tc>
          <w:tcPr>
            <w:tcW w:type="dxa" w:w="189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6929C4"/>
                <w:sz w:val="19"/>
                <w:szCs w:val="19"/>
              </w:rPr>
              <w:t xml:space="preserve">−40% handoffs</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Modernization-in-stride</w:t>
            </w:r>
          </w:p>
        </w:tc>
        <w:tc>
          <w:tcPr>
            <w:tcW w:type="dxa" w:w="3240"/>
            <w:tcBorders>
              <w:top w:val="none" w:color="auto" w:sz="0"/>
              <w:left w:val="none" w:color="auto" w:sz="0"/>
              <w:bottom w:val="none" w:color="auto" w:sz="0"/>
              <w:right w:val="none" w:color="auto" w:sz="0"/>
            </w:tcBorders>
            <w:shd w:fill="005D5D" w:val="clear"/>
          </w:tcPr>
          <w:p>
            <w:pPr>
              <w:spacing w:after="0" w:before="0"/>
            </w:pPr>
            <w:r>
              <w:rPr>
                <w:rFonts w:ascii="Calibri" w:cs="Calibri" w:eastAsia="Calibri" w:hAnsi="Calibri"/>
                <w:sz w:val="12"/>
                <w:szCs w:val="12"/>
              </w:rPr>
              <w:t xml:space="preserve"/>
            </w:r>
          </w:p>
        </w:tc>
        <w:tc>
          <w:tcPr>
            <w:tcW w:type="dxa" w:w="216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05D5D"/>
                <w:sz w:val="19"/>
                <w:szCs w:val="19"/>
              </w:rPr>
              <w:t xml:space="preserve">Debt −30%/yr</w:t>
            </w:r>
          </w:p>
        </w:tc>
      </w:tr>
    </w:tbl>
    <w:p>
      <w:pPr>
        <w:spacing w:after="160" w:before="0"/>
      </w:pPr>
      <w:r>
        <w:rPr>
          <w:rFonts w:ascii="Calibri" w:cs="Calibri" w:eastAsia="Calibri" w:hAnsi="Calibri"/>
          <w:sz w:val="12"/>
          <w:szCs w:val="12"/>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F62FE"/>
                <w:sz w:val="56"/>
                <w:szCs w:val="56"/>
              </w:rPr>
              <w:t xml:space="preserve">25–40%</w:t>
            </w:r>
          </w:p>
          <w:p>
            <w:pPr>
              <w:spacing w:after="160" w:before="0"/>
              <w:jc w:val="center"/>
            </w:pPr>
            <w:r>
              <w:rPr>
                <w:rFonts w:ascii="Calibri" w:cs="Calibri" w:eastAsia="Calibri" w:hAnsi="Calibri"/>
                <w:b/>
                <w:bCs/>
                <w:i w:val="false"/>
                <w:iCs w:val="false"/>
                <w:color w:val="001141"/>
                <w:sz w:val="19"/>
                <w:szCs w:val="19"/>
              </w:rPr>
              <w:t xml:space="preserve">Faster Time to Market</w:t>
            </w:r>
          </w:p>
        </w:tc>
        <w:tc>
          <w:tcPr>
            <w:tcW w:type="dxa" w:w="2340"/>
            <w:tcBorders>
              <w:top w:val="single" w:color="0043C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43CE"/>
                <w:sz w:val="56"/>
                <w:szCs w:val="56"/>
              </w:rPr>
              <w:t xml:space="preserve">2×</w:t>
            </w:r>
          </w:p>
          <w:p>
            <w:pPr>
              <w:spacing w:after="160" w:before="0"/>
              <w:jc w:val="center"/>
            </w:pPr>
            <w:r>
              <w:rPr>
                <w:rFonts w:ascii="Calibri" w:cs="Calibri" w:eastAsia="Calibri" w:hAnsi="Calibri"/>
                <w:b/>
                <w:bCs/>
                <w:i w:val="false"/>
                <w:iCs w:val="false"/>
                <w:color w:val="001141"/>
                <w:sz w:val="19"/>
                <w:szCs w:val="19"/>
              </w:rPr>
              <w:t xml:space="preserve">Deployment Frequency</w:t>
            </w:r>
          </w:p>
        </w:tc>
        <w:tc>
          <w:tcPr>
            <w:tcW w:type="dxa" w:w="2340"/>
            <w:tcBorders>
              <w:top w:val="single" w:color="007D79"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7D79"/>
                <w:sz w:val="56"/>
                <w:szCs w:val="56"/>
              </w:rPr>
              <w:t xml:space="preserve">−60%</w:t>
            </w:r>
          </w:p>
          <w:p>
            <w:pPr>
              <w:spacing w:after="160" w:before="0"/>
              <w:jc w:val="center"/>
            </w:pPr>
            <w:r>
              <w:rPr>
                <w:rFonts w:ascii="Calibri" w:cs="Calibri" w:eastAsia="Calibri" w:hAnsi="Calibri"/>
                <w:b/>
                <w:bCs/>
                <w:i w:val="false"/>
                <w:iCs w:val="false"/>
                <w:color w:val="001141"/>
                <w:sz w:val="19"/>
                <w:szCs w:val="19"/>
              </w:rPr>
              <w:t xml:space="preserve">Change Failure Rate</w:t>
            </w:r>
          </w:p>
        </w:tc>
        <w:tc>
          <w:tcPr>
            <w:tcW w:type="dxa" w:w="2340"/>
            <w:tcBorders>
              <w:top w:val="single" w:color="6929C4"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6929C4"/>
                <w:sz w:val="56"/>
                <w:szCs w:val="56"/>
              </w:rPr>
              <w:t xml:space="preserve">AI-First</w:t>
            </w:r>
          </w:p>
          <w:p>
            <w:pPr>
              <w:spacing w:after="160" w:before="0"/>
              <w:jc w:val="center"/>
            </w:pPr>
            <w:r>
              <w:rPr>
                <w:rFonts w:ascii="Calibri" w:cs="Calibri" w:eastAsia="Calibri" w:hAnsi="Calibri"/>
                <w:b/>
                <w:bCs/>
                <w:i w:val="false"/>
                <w:iCs w:val="false"/>
                <w:color w:val="001141"/>
                <w:sz w:val="19"/>
                <w:szCs w:val="19"/>
              </w:rPr>
              <w:t xml:space="preserve">Every Sprint, Every Squad</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04  </w:t>
      </w:r>
      <w:r>
        <w:rPr>
          <w:rFonts w:ascii="Calibri" w:cs="Calibri" w:eastAsia="Calibri" w:hAnsi="Calibri"/>
          <w:b/>
          <w:bCs/>
          <w:i w:val="false"/>
          <w:iCs w:val="false"/>
          <w:color w:val="001141"/>
          <w:sz w:val="36"/>
          <w:szCs w:val="36"/>
        </w:rPr>
        <w:t xml:space="preserve">Zero-Touch Application Maintenance</w:t>
      </w:r>
    </w:p>
    <w:p>
      <w:pPr>
        <w:spacing w:after="160" w:before="0"/>
      </w:pPr>
      <w:r>
        <w:rPr>
          <w:rFonts w:ascii="Calibri" w:cs="Calibri" w:eastAsia="Calibri" w:hAnsi="Calibri"/>
          <w:b w:val="false"/>
          <w:bCs w:val="false"/>
          <w:i/>
          <w:iCs/>
          <w:color w:val="8D8D8D"/>
          <w:sz w:val="20"/>
          <w:szCs w:val="20"/>
        </w:rPr>
        <w:t xml:space="preserve">From Reactive Firefighting to Self-Healing, Agentic Operations</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“When a claims system fails at 2 AM, the first responder should be an AI agent — not a sleep-deprived engineer. The provider should never know it happened. The member should never feel the impact. That is what zero-touch means.”</w:t>
      </w:r>
    </w:p>
    <w:p>
      <w:pPr>
        <w:spacing w:after="120" w:before="0"/>
        <w:jc w:val="right"/>
      </w:pPr>
      <w:r>
        <w:rPr>
          <w:rFonts w:ascii="Calibri" w:cs="Calibri" w:eastAsia="Calibri" w:hAnsi="Calibri"/>
          <w:b/>
          <w:bCs/>
          <w:i w:val="false"/>
          <w:iCs w:val="false"/>
          <w:color w:val="0F62FE"/>
          <w:sz w:val="18"/>
          <w:szCs w:val="18"/>
        </w:rPr>
        <w:t xml:space="preserve">— IBM AIOps — Zero-Touch Operations Framework</w:t>
      </w:r>
    </w:p>
    <w:p>
      <w:pPr>
        <w:spacing w:after="80" w:before="200"/>
      </w:pPr>
      <w:r>
        <w:rPr>
          <w:rFonts w:ascii="Calibri" w:cs="Calibri" w:eastAsia="Calibri" w:hAnsi="Calibri"/>
          <w:b/>
          <w:bCs/>
          <w:i w:val="false"/>
          <w:iCs w:val="false"/>
          <w:color w:val="001141"/>
          <w:sz w:val="24"/>
          <w:szCs w:val="24"/>
        </w:rPr>
        <w:t xml:space="preserve">The Agentic AI Architecture</w:t>
      </w:r>
    </w:p>
    <w:p>
      <w:pPr>
        <w:spacing w:after="100" w:before="0"/>
      </w:pPr>
      <w:r>
        <w:rPr>
          <w:rFonts w:ascii="Calibri" w:cs="Calibri" w:eastAsia="Calibri" w:hAnsi="Calibri"/>
          <w:b w:val="false"/>
          <w:bCs w:val="false"/>
          <w:i w:val="false"/>
          <w:iCs w:val="false"/>
          <w:color w:val="525252"/>
          <w:sz w:val="21"/>
          <w:szCs w:val="21"/>
        </w:rPr>
        <w:t xml:space="preserve">IBM’s AIOps framework is built on a multi-agent architecture where specialized AI agents handle distinct responsibilities across the incident lifecycle — from detection through resolution and continuous learning. Each agent compounds knowledge with every resolved incident.</w:t>
      </w:r>
    </w:p>
    <w:p>
      <w:pPr>
        <w:spacing w:after="80" w:before="200"/>
      </w:pPr>
      <w:r>
        <w:rPr>
          <w:rFonts w:ascii="Calibri" w:cs="Calibri" w:eastAsia="Calibri" w:hAnsi="Calibri"/>
          <w:b/>
          <w:bCs/>
          <w:i w:val="false"/>
          <w:iCs w:val="false"/>
          <w:color w:val="001141"/>
          <w:sz w:val="24"/>
          <w:szCs w:val="24"/>
        </w:rPr>
        <w:t xml:space="preserve">Agent Roles</w:t>
      </w:r>
    </w:p>
    <w:p>
      <w:pPr>
        <w:spacing w:after="40" w:before="120"/>
      </w:pPr>
      <w:r>
        <w:rPr>
          <w:rFonts w:ascii="Calibri" w:cs="Calibri" w:eastAsia="Calibri" w:hAnsi="Calibri"/>
          <w:b/>
          <w:bCs/>
          <w:i w:val="false"/>
          <w:iCs w:val="false"/>
          <w:color w:val="0F62FE"/>
          <w:sz w:val="21"/>
          <w:szCs w:val="21"/>
        </w:rPr>
        <w:t xml:space="preserve">Help Desk Agent</w:t>
      </w:r>
    </w:p>
    <w:p>
      <w:pPr>
        <w:spacing w:after="100" w:before="0"/>
      </w:pPr>
      <w:r>
        <w:rPr>
          <w:rFonts w:ascii="Calibri" w:cs="Calibri" w:eastAsia="Calibri" w:hAnsi="Calibri"/>
          <w:b w:val="false"/>
          <w:bCs w:val="false"/>
          <w:i w:val="false"/>
          <w:iCs w:val="false"/>
          <w:color w:val="525252"/>
          <w:sz w:val="21"/>
          <w:szCs w:val="21"/>
        </w:rPr>
        <w:t xml:space="preserve">Delivers context-aware guidance and automated actions to help users auto-resolve issues before ticket creation. The member gets their answer without waiting for a human.</w:t>
      </w:r>
    </w:p>
    <w:p>
      <w:pPr>
        <w:spacing w:after="40" w:before="120"/>
      </w:pPr>
      <w:r>
        <w:rPr>
          <w:rFonts w:ascii="Calibri" w:cs="Calibri" w:eastAsia="Calibri" w:hAnsi="Calibri"/>
          <w:b/>
          <w:bCs/>
          <w:i w:val="false"/>
          <w:iCs w:val="false"/>
          <w:color w:val="0F62FE"/>
          <w:sz w:val="21"/>
          <w:szCs w:val="21"/>
        </w:rPr>
        <w:t xml:space="preserve">Triage Agent</w:t>
      </w:r>
    </w:p>
    <w:p>
      <w:pPr>
        <w:spacing w:after="100" w:before="0"/>
      </w:pPr>
      <w:r>
        <w:rPr>
          <w:rFonts w:ascii="Calibri" w:cs="Calibri" w:eastAsia="Calibri" w:hAnsi="Calibri"/>
          <w:b w:val="false"/>
          <w:bCs w:val="false"/>
          <w:i w:val="false"/>
          <w:iCs w:val="false"/>
          <w:color w:val="525252"/>
          <w:sz w:val="21"/>
          <w:szCs w:val="21"/>
        </w:rPr>
        <w:t xml:space="preserve">Prioritizes tickets based on impact, urgency, and historical patterns — eliminating manual queue management. The right team responds immediately, every time.</w:t>
      </w:r>
    </w:p>
    <w:p>
      <w:pPr>
        <w:spacing w:after="40" w:before="120"/>
      </w:pPr>
      <w:r>
        <w:rPr>
          <w:rFonts w:ascii="Calibri" w:cs="Calibri" w:eastAsia="Calibri" w:hAnsi="Calibri"/>
          <w:b/>
          <w:bCs/>
          <w:i w:val="false"/>
          <w:iCs w:val="false"/>
          <w:color w:val="0F62FE"/>
          <w:sz w:val="21"/>
          <w:szCs w:val="21"/>
        </w:rPr>
        <w:t xml:space="preserve">Root Cause Analysis Agent</w:t>
      </w:r>
    </w:p>
    <w:p>
      <w:pPr>
        <w:spacing w:after="100" w:before="0"/>
      </w:pPr>
      <w:r>
        <w:rPr>
          <w:rFonts w:ascii="Calibri" w:cs="Calibri" w:eastAsia="Calibri" w:hAnsi="Calibri"/>
          <w:b w:val="false"/>
          <w:bCs w:val="false"/>
          <w:i w:val="false"/>
          <w:iCs w:val="false"/>
          <w:color w:val="525252"/>
          <w:sz w:val="21"/>
          <w:szCs w:val="21"/>
        </w:rPr>
        <w:t xml:space="preserve">Correlates signals across 140+ monitoring sources to identify root cause within minutes — not hours. Diagnosis that used to take a senior engineer now takes an AI agent seconds.</w:t>
      </w:r>
    </w:p>
    <w:p>
      <w:pPr>
        <w:spacing w:after="40" w:before="120"/>
      </w:pPr>
      <w:r>
        <w:rPr>
          <w:rFonts w:ascii="Calibri" w:cs="Calibri" w:eastAsia="Calibri" w:hAnsi="Calibri"/>
          <w:b/>
          <w:bCs/>
          <w:i w:val="false"/>
          <w:iCs w:val="false"/>
          <w:color w:val="0F62FE"/>
          <w:sz w:val="21"/>
          <w:szCs w:val="21"/>
        </w:rPr>
        <w:t xml:space="preserve">Resolution Agent</w:t>
      </w:r>
    </w:p>
    <w:p>
      <w:pPr>
        <w:spacing w:after="100" w:before="0"/>
      </w:pPr>
      <w:r>
        <w:rPr>
          <w:rFonts w:ascii="Calibri" w:cs="Calibri" w:eastAsia="Calibri" w:hAnsi="Calibri"/>
          <w:b w:val="false"/>
          <w:bCs w:val="false"/>
          <w:i w:val="false"/>
          <w:iCs w:val="false"/>
          <w:color w:val="525252"/>
          <w:sz w:val="21"/>
          <w:szCs w:val="21"/>
        </w:rPr>
        <w:t xml:space="preserve">Suggests or executes remediation steps based on runbooks and past resolutions. More than 74% of P3/P4 incidents are resolved without human action.</w:t>
      </w:r>
    </w:p>
    <w:p>
      <w:pPr>
        <w:spacing w:after="40" w:before="120"/>
      </w:pPr>
      <w:r>
        <w:rPr>
          <w:rFonts w:ascii="Calibri" w:cs="Calibri" w:eastAsia="Calibri" w:hAnsi="Calibri"/>
          <w:b/>
          <w:bCs/>
          <w:i w:val="false"/>
          <w:iCs w:val="false"/>
          <w:color w:val="0F62FE"/>
          <w:sz w:val="21"/>
          <w:szCs w:val="21"/>
        </w:rPr>
        <w:t xml:space="preserve">Runbook Generation Agent</w:t>
      </w:r>
    </w:p>
    <w:p>
      <w:pPr>
        <w:spacing w:after="100" w:before="0"/>
      </w:pPr>
      <w:r>
        <w:rPr>
          <w:rFonts w:ascii="Calibri" w:cs="Calibri" w:eastAsia="Calibri" w:hAnsi="Calibri"/>
          <w:b w:val="false"/>
          <w:bCs w:val="false"/>
          <w:i w:val="false"/>
          <w:iCs w:val="false"/>
          <w:color w:val="525252"/>
          <w:sz w:val="21"/>
          <w:szCs w:val="21"/>
        </w:rPr>
        <w:t xml:space="preserve">Auto-generates and updates runbooks from resolved incidents — compounding operational knowledge over time and eliminating reliance on institutional memory.</w:t>
      </w:r>
    </w:p>
    <w:p>
      <w:pPr>
        <w:spacing w:after="40" w:before="120"/>
      </w:pPr>
      <w:r>
        <w:rPr>
          <w:rFonts w:ascii="Calibri" w:cs="Calibri" w:eastAsia="Calibri" w:hAnsi="Calibri"/>
          <w:b/>
          <w:bCs/>
          <w:i w:val="false"/>
          <w:iCs w:val="false"/>
          <w:color w:val="0F62FE"/>
          <w:sz w:val="21"/>
          <w:szCs w:val="21"/>
        </w:rPr>
        <w:t xml:space="preserve">Continuous Learning Agent</w:t>
      </w:r>
    </w:p>
    <w:p>
      <w:pPr>
        <w:spacing w:after="100" w:before="0"/>
      </w:pPr>
      <w:r>
        <w:rPr>
          <w:rFonts w:ascii="Calibri" w:cs="Calibri" w:eastAsia="Calibri" w:hAnsi="Calibri"/>
          <w:b w:val="false"/>
          <w:bCs w:val="false"/>
          <w:i w:val="false"/>
          <w:iCs w:val="false"/>
          <w:color w:val="525252"/>
          <w:sz w:val="21"/>
          <w:szCs w:val="21"/>
        </w:rPr>
        <w:t xml:space="preserve">Feeds production telemetry back into all agents, ensuring progressive improvement with every incident cycle. The system gets smarter every day.</w:t>
      </w:r>
    </w:p>
    <w:p>
      <w:pPr>
        <w:spacing w:after="8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Zero-Touch Operations Pipeline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1872"/>
            <w:tcBorders>
              <w:top w:val="single" w:color="0F62FE" w:sz="18"/>
              <w:left w:val="single" w:color="E0E0E0" w:sz="4"/>
              <w:bottom w:val="single" w:color="E0E0E0" w:sz="4"/>
              <w:right w:val="single" w:color="E0E0E0" w:sz="4"/>
            </w:tcBorders>
            <w:shd w:fill="FFFFFF" w:val="clear"/>
            <w:tcMar>
              <w:top w:type="dxa" w:w="80"/>
              <w:left w:type="dxa" w:w="120"/>
              <w:bottom w:type="dxa" w:w="80"/>
              <w:right w:type="dxa" w:w="120"/>
            </w:tcMar>
          </w:tcPr>
          <w:p>
            <w:pPr>
              <w:spacing w:after="40" w:before="120"/>
              <w:jc w:val="center"/>
            </w:pPr>
            <w:r>
              <w:rPr>
                <w:rFonts w:ascii="Calibri" w:cs="Calibri" w:eastAsia="Calibri" w:hAnsi="Calibri"/>
                <w:b/>
                <w:bCs/>
                <w:i w:val="false"/>
                <w:iCs w:val="false"/>
                <w:color w:val="0F62FE"/>
                <w:sz w:val="15"/>
                <w:szCs w:val="15"/>
              </w:rPr>
              <w:t xml:space="preserve">STEP 1</w:t>
            </w:r>
          </w:p>
          <w:p>
            <w:pPr>
              <w:spacing w:after="80" w:before="0"/>
              <w:jc w:val="center"/>
            </w:pPr>
            <w:r>
              <w:rPr>
                <w:rFonts w:ascii="Calibri" w:cs="Calibri" w:eastAsia="Calibri" w:hAnsi="Calibri"/>
                <w:b/>
                <w:bCs/>
                <w:i w:val="false"/>
                <w:iCs w:val="false"/>
                <w:color w:val="001141"/>
                <w:sz w:val="21"/>
                <w:szCs w:val="21"/>
              </w:rPr>
              <w:t xml:space="preserve">Detect</w:t>
            </w:r>
          </w:p>
          <w:p>
            <w:pPr>
              <w:spacing w:after="40" w:before="0"/>
              <w:jc w:val="center"/>
            </w:pPr>
            <w:r>
              <w:rPr>
                <w:rFonts w:ascii="Calibri" w:cs="Calibri" w:eastAsia="Calibri" w:hAnsi="Calibri"/>
                <w:b w:val="false"/>
                <w:bCs w:val="false"/>
                <w:i w:val="false"/>
                <w:iCs w:val="false"/>
                <w:color w:val="525252"/>
                <w:sz w:val="19"/>
                <w:szCs w:val="19"/>
              </w:rPr>
              <w:t xml:space="preserve">Correlate 140+
sources</w:t>
            </w:r>
          </w:p>
          <w:p>
            <w:pPr>
              <w:spacing w:after="40" w:before="0"/>
              <w:jc w:val="center"/>
            </w:pPr>
            <w:r>
              <w:rPr>
                <w:rFonts w:ascii="Calibri" w:cs="Calibri" w:eastAsia="Calibri" w:hAnsi="Calibri"/>
                <w:b w:val="false"/>
                <w:bCs w:val="false"/>
                <w:i w:val="false"/>
                <w:iCs w:val="false"/>
                <w:color w:val="525252"/>
                <w:sz w:val="19"/>
                <w:szCs w:val="19"/>
              </w:rPr>
              <w:t xml:space="preserve">Cut noise &gt;60%</w:t>
            </w:r>
          </w:p>
          <w:p>
            <w:pPr>
              <w:spacing w:after="80" w:before="0"/>
            </w:pPr>
            <w:r>
              <w:rPr>
                <w:rFonts w:ascii="Calibri" w:cs="Calibri" w:eastAsia="Calibri" w:hAnsi="Calibri"/>
                <w:sz w:val="12"/>
                <w:szCs w:val="12"/>
              </w:rPr>
              <w:t xml:space="preserve"/>
            </w:r>
          </w:p>
        </w:tc>
        <w:tc>
          <w:tcPr>
            <w:tcW w:type="dxa" w:w="1872"/>
            <w:tcBorders>
              <w:top w:val="single" w:color="0072C3" w:sz="18"/>
              <w:left w:val="single" w:color="E0E0E0" w:sz="4"/>
              <w:bottom w:val="single" w:color="E0E0E0" w:sz="4"/>
              <w:right w:val="single" w:color="E0E0E0" w:sz="4"/>
            </w:tcBorders>
            <w:shd w:fill="FFFFFF" w:val="clear"/>
            <w:tcMar>
              <w:top w:type="dxa" w:w="80"/>
              <w:left w:type="dxa" w:w="120"/>
              <w:bottom w:type="dxa" w:w="80"/>
              <w:right w:type="dxa" w:w="120"/>
            </w:tcMar>
          </w:tcPr>
          <w:p>
            <w:pPr>
              <w:spacing w:after="40" w:before="120"/>
              <w:jc w:val="center"/>
            </w:pPr>
            <w:r>
              <w:rPr>
                <w:rFonts w:ascii="Calibri" w:cs="Calibri" w:eastAsia="Calibri" w:hAnsi="Calibri"/>
                <w:b/>
                <w:bCs/>
                <w:i w:val="false"/>
                <w:iCs w:val="false"/>
                <w:color w:val="0072C3"/>
                <w:sz w:val="15"/>
                <w:szCs w:val="15"/>
              </w:rPr>
              <w:t xml:space="preserve">STEP 2</w:t>
            </w:r>
          </w:p>
          <w:p>
            <w:pPr>
              <w:spacing w:after="80" w:before="0"/>
              <w:jc w:val="center"/>
            </w:pPr>
            <w:r>
              <w:rPr>
                <w:rFonts w:ascii="Calibri" w:cs="Calibri" w:eastAsia="Calibri" w:hAnsi="Calibri"/>
                <w:b/>
                <w:bCs/>
                <w:i w:val="false"/>
                <w:iCs w:val="false"/>
                <w:color w:val="001141"/>
                <w:sz w:val="21"/>
                <w:szCs w:val="21"/>
              </w:rPr>
              <w:t xml:space="preserve">Triage</w:t>
            </w:r>
          </w:p>
          <w:p>
            <w:pPr>
              <w:spacing w:after="40" w:before="0"/>
              <w:jc w:val="center"/>
            </w:pPr>
            <w:r>
              <w:rPr>
                <w:rFonts w:ascii="Calibri" w:cs="Calibri" w:eastAsia="Calibri" w:hAnsi="Calibri"/>
                <w:b w:val="false"/>
                <w:bCs w:val="false"/>
                <w:i w:val="false"/>
                <w:iCs w:val="false"/>
                <w:color w:val="525252"/>
                <w:sz w:val="19"/>
                <w:szCs w:val="19"/>
              </w:rPr>
              <w:t xml:space="preserve">Impact scoring</w:t>
            </w:r>
          </w:p>
          <w:p>
            <w:pPr>
              <w:spacing w:after="40" w:before="0"/>
              <w:jc w:val="center"/>
            </w:pPr>
            <w:r>
              <w:rPr>
                <w:rFonts w:ascii="Calibri" w:cs="Calibri" w:eastAsia="Calibri" w:hAnsi="Calibri"/>
                <w:b w:val="false"/>
                <w:bCs w:val="false"/>
                <w:i w:val="false"/>
                <w:iCs w:val="false"/>
                <w:color w:val="525252"/>
                <w:sz w:val="19"/>
                <w:szCs w:val="19"/>
              </w:rPr>
              <w:t xml:space="preserve">Auto-prioritise</w:t>
            </w:r>
          </w:p>
          <w:p>
            <w:pPr>
              <w:spacing w:after="40" w:before="0"/>
              <w:jc w:val="center"/>
            </w:pPr>
            <w:r>
              <w:rPr>
                <w:rFonts w:ascii="Calibri" w:cs="Calibri" w:eastAsia="Calibri" w:hAnsi="Calibri"/>
                <w:b w:val="false"/>
                <w:bCs w:val="false"/>
                <w:i w:val="false"/>
                <w:iCs w:val="false"/>
                <w:color w:val="525252"/>
                <w:sz w:val="19"/>
                <w:szCs w:val="19"/>
              </w:rPr>
              <w:t xml:space="preserve">Route instantly</w:t>
            </w:r>
          </w:p>
          <w:p>
            <w:pPr>
              <w:spacing w:after="80" w:before="0"/>
            </w:pPr>
            <w:r>
              <w:rPr>
                <w:rFonts w:ascii="Calibri" w:cs="Calibri" w:eastAsia="Calibri" w:hAnsi="Calibri"/>
                <w:sz w:val="12"/>
                <w:szCs w:val="12"/>
              </w:rPr>
              <w:t xml:space="preserve"/>
            </w:r>
          </w:p>
        </w:tc>
        <w:tc>
          <w:tcPr>
            <w:tcW w:type="dxa" w:w="1872"/>
            <w:tcBorders>
              <w:top w:val="single" w:color="0043CE" w:sz="18"/>
              <w:left w:val="single" w:color="E0E0E0" w:sz="4"/>
              <w:bottom w:val="single" w:color="E0E0E0" w:sz="4"/>
              <w:right w:val="single" w:color="E0E0E0" w:sz="4"/>
            </w:tcBorders>
            <w:shd w:fill="FFFFFF" w:val="clear"/>
            <w:tcMar>
              <w:top w:type="dxa" w:w="80"/>
              <w:left w:type="dxa" w:w="120"/>
              <w:bottom w:type="dxa" w:w="80"/>
              <w:right w:type="dxa" w:w="120"/>
            </w:tcMar>
          </w:tcPr>
          <w:p>
            <w:pPr>
              <w:spacing w:after="40" w:before="120"/>
              <w:jc w:val="center"/>
            </w:pPr>
            <w:r>
              <w:rPr>
                <w:rFonts w:ascii="Calibri" w:cs="Calibri" w:eastAsia="Calibri" w:hAnsi="Calibri"/>
                <w:b/>
                <w:bCs/>
                <w:i w:val="false"/>
                <w:iCs w:val="false"/>
                <w:color w:val="0043CE"/>
                <w:sz w:val="15"/>
                <w:szCs w:val="15"/>
              </w:rPr>
              <w:t xml:space="preserve">STEP 3</w:t>
            </w:r>
          </w:p>
          <w:p>
            <w:pPr>
              <w:spacing w:after="80" w:before="0"/>
              <w:jc w:val="center"/>
            </w:pPr>
            <w:r>
              <w:rPr>
                <w:rFonts w:ascii="Calibri" w:cs="Calibri" w:eastAsia="Calibri" w:hAnsi="Calibri"/>
                <w:b/>
                <w:bCs/>
                <w:i w:val="false"/>
                <w:iCs w:val="false"/>
                <w:color w:val="001141"/>
                <w:sz w:val="21"/>
                <w:szCs w:val="21"/>
              </w:rPr>
              <w:t xml:space="preserve">Diagnose</w:t>
            </w:r>
          </w:p>
          <w:p>
            <w:pPr>
              <w:spacing w:after="40" w:before="0"/>
              <w:jc w:val="center"/>
            </w:pPr>
            <w:r>
              <w:rPr>
                <w:rFonts w:ascii="Calibri" w:cs="Calibri" w:eastAsia="Calibri" w:hAnsi="Calibri"/>
                <w:b w:val="false"/>
                <w:bCs w:val="false"/>
                <w:i w:val="false"/>
                <w:iCs w:val="false"/>
                <w:color w:val="525252"/>
                <w:sz w:val="19"/>
                <w:szCs w:val="19"/>
              </w:rPr>
              <w:t xml:space="preserve">Root cause
in minutes</w:t>
            </w:r>
          </w:p>
          <w:p>
            <w:pPr>
              <w:spacing w:after="40" w:before="0"/>
              <w:jc w:val="center"/>
            </w:pPr>
            <w:r>
              <w:rPr>
                <w:rFonts w:ascii="Calibri" w:cs="Calibri" w:eastAsia="Calibri" w:hAnsi="Calibri"/>
                <w:b w:val="false"/>
                <w:bCs w:val="false"/>
                <w:i w:val="false"/>
                <w:iCs w:val="false"/>
                <w:color w:val="525252"/>
                <w:sz w:val="19"/>
                <w:szCs w:val="19"/>
              </w:rPr>
              <w:t xml:space="preserve">Pattern matching</w:t>
            </w:r>
          </w:p>
          <w:p>
            <w:pPr>
              <w:spacing w:after="80" w:before="0"/>
            </w:pPr>
            <w:r>
              <w:rPr>
                <w:rFonts w:ascii="Calibri" w:cs="Calibri" w:eastAsia="Calibri" w:hAnsi="Calibri"/>
                <w:sz w:val="12"/>
                <w:szCs w:val="12"/>
              </w:rPr>
              <w:t xml:space="preserve"/>
            </w:r>
          </w:p>
        </w:tc>
        <w:tc>
          <w:tcPr>
            <w:tcW w:type="dxa" w:w="1872"/>
            <w:tcBorders>
              <w:top w:val="single" w:color="007D79" w:sz="18"/>
              <w:left w:val="single" w:color="E0E0E0" w:sz="4"/>
              <w:bottom w:val="single" w:color="E0E0E0" w:sz="4"/>
              <w:right w:val="single" w:color="E0E0E0" w:sz="4"/>
            </w:tcBorders>
            <w:shd w:fill="FFFFFF" w:val="clear"/>
            <w:tcMar>
              <w:top w:type="dxa" w:w="80"/>
              <w:left w:type="dxa" w:w="120"/>
              <w:bottom w:type="dxa" w:w="80"/>
              <w:right w:type="dxa" w:w="120"/>
            </w:tcMar>
          </w:tcPr>
          <w:p>
            <w:pPr>
              <w:spacing w:after="40" w:before="120"/>
              <w:jc w:val="center"/>
            </w:pPr>
            <w:r>
              <w:rPr>
                <w:rFonts w:ascii="Calibri" w:cs="Calibri" w:eastAsia="Calibri" w:hAnsi="Calibri"/>
                <w:b/>
                <w:bCs/>
                <w:i w:val="false"/>
                <w:iCs w:val="false"/>
                <w:color w:val="007D79"/>
                <w:sz w:val="15"/>
                <w:szCs w:val="15"/>
              </w:rPr>
              <w:t xml:space="preserve">STEP 4</w:t>
            </w:r>
          </w:p>
          <w:p>
            <w:pPr>
              <w:spacing w:after="80" w:before="0"/>
              <w:jc w:val="center"/>
            </w:pPr>
            <w:r>
              <w:rPr>
                <w:rFonts w:ascii="Calibri" w:cs="Calibri" w:eastAsia="Calibri" w:hAnsi="Calibri"/>
                <w:b/>
                <w:bCs/>
                <w:i w:val="false"/>
                <w:iCs w:val="false"/>
                <w:color w:val="001141"/>
                <w:sz w:val="21"/>
                <w:szCs w:val="21"/>
              </w:rPr>
              <w:t xml:space="preserve">Resolve</w:t>
            </w:r>
          </w:p>
          <w:p>
            <w:pPr>
              <w:spacing w:after="40" w:before="0"/>
              <w:jc w:val="center"/>
            </w:pPr>
            <w:r>
              <w:rPr>
                <w:rFonts w:ascii="Calibri" w:cs="Calibri" w:eastAsia="Calibri" w:hAnsi="Calibri"/>
                <w:b w:val="false"/>
                <w:bCs w:val="false"/>
                <w:i w:val="false"/>
                <w:iCs w:val="false"/>
                <w:color w:val="525252"/>
                <w:sz w:val="19"/>
                <w:szCs w:val="19"/>
              </w:rPr>
              <w:t xml:space="preserve">Self-heal P3/P4</w:t>
            </w:r>
          </w:p>
          <w:p>
            <w:pPr>
              <w:spacing w:after="40" w:before="0"/>
              <w:jc w:val="center"/>
            </w:pPr>
            <w:r>
              <w:rPr>
                <w:rFonts w:ascii="Calibri" w:cs="Calibri" w:eastAsia="Calibri" w:hAnsi="Calibri"/>
                <w:b w:val="false"/>
                <w:bCs w:val="false"/>
                <w:i w:val="false"/>
                <w:iCs w:val="false"/>
                <w:color w:val="525252"/>
                <w:sz w:val="19"/>
                <w:szCs w:val="19"/>
              </w:rPr>
              <w:t xml:space="preserve">Zero human touch</w:t>
            </w:r>
          </w:p>
          <w:p>
            <w:pPr>
              <w:spacing w:after="80" w:before="0"/>
            </w:pPr>
            <w:r>
              <w:rPr>
                <w:rFonts w:ascii="Calibri" w:cs="Calibri" w:eastAsia="Calibri" w:hAnsi="Calibri"/>
                <w:sz w:val="12"/>
                <w:szCs w:val="12"/>
              </w:rPr>
              <w:t xml:space="preserve"/>
            </w:r>
          </w:p>
        </w:tc>
        <w:tc>
          <w:tcPr>
            <w:tcW w:type="dxa" w:w="1872"/>
            <w:tcBorders>
              <w:top w:val="single" w:color="005D5D" w:sz="18"/>
              <w:left w:val="single" w:color="E0E0E0" w:sz="4"/>
              <w:bottom w:val="single" w:color="E0E0E0" w:sz="4"/>
              <w:right w:val="single" w:color="E0E0E0" w:sz="4"/>
            </w:tcBorders>
            <w:shd w:fill="FFFFFF" w:val="clear"/>
            <w:tcMar>
              <w:top w:type="dxa" w:w="80"/>
              <w:left w:type="dxa" w:w="120"/>
              <w:bottom w:type="dxa" w:w="80"/>
              <w:right w:type="dxa" w:w="120"/>
            </w:tcMar>
          </w:tcPr>
          <w:p>
            <w:pPr>
              <w:spacing w:after="40" w:before="120"/>
              <w:jc w:val="center"/>
            </w:pPr>
            <w:r>
              <w:rPr>
                <w:rFonts w:ascii="Calibri" w:cs="Calibri" w:eastAsia="Calibri" w:hAnsi="Calibri"/>
                <w:b/>
                <w:bCs/>
                <w:i w:val="false"/>
                <w:iCs w:val="false"/>
                <w:color w:val="005D5D"/>
                <w:sz w:val="15"/>
                <w:szCs w:val="15"/>
              </w:rPr>
              <w:t xml:space="preserve">STEP 5</w:t>
            </w:r>
          </w:p>
          <w:p>
            <w:pPr>
              <w:spacing w:after="80" w:before="0"/>
              <w:jc w:val="center"/>
            </w:pPr>
            <w:r>
              <w:rPr>
                <w:rFonts w:ascii="Calibri" w:cs="Calibri" w:eastAsia="Calibri" w:hAnsi="Calibri"/>
                <w:b/>
                <w:bCs/>
                <w:i w:val="false"/>
                <w:iCs w:val="false"/>
                <w:color w:val="001141"/>
                <w:sz w:val="21"/>
                <w:szCs w:val="21"/>
              </w:rPr>
              <w:t xml:space="preserve">Learn</w:t>
            </w:r>
          </w:p>
          <w:p>
            <w:pPr>
              <w:spacing w:after="40" w:before="0"/>
              <w:jc w:val="center"/>
            </w:pPr>
            <w:r>
              <w:rPr>
                <w:rFonts w:ascii="Calibri" w:cs="Calibri" w:eastAsia="Calibri" w:hAnsi="Calibri"/>
                <w:b w:val="false"/>
                <w:bCs w:val="false"/>
                <w:i w:val="false"/>
                <w:iCs w:val="false"/>
                <w:color w:val="525252"/>
                <w:sz w:val="19"/>
                <w:szCs w:val="19"/>
              </w:rPr>
              <w:t xml:space="preserve">Update runbooks</w:t>
            </w:r>
          </w:p>
          <w:p>
            <w:pPr>
              <w:spacing w:after="40" w:before="0"/>
              <w:jc w:val="center"/>
            </w:pPr>
            <w:r>
              <w:rPr>
                <w:rFonts w:ascii="Calibri" w:cs="Calibri" w:eastAsia="Calibri" w:hAnsi="Calibri"/>
                <w:b w:val="false"/>
                <w:bCs w:val="false"/>
                <w:i w:val="false"/>
                <w:iCs w:val="false"/>
                <w:color w:val="525252"/>
                <w:sz w:val="19"/>
                <w:szCs w:val="19"/>
              </w:rPr>
              <w:t xml:space="preserve">Prevent recurrence</w:t>
            </w:r>
          </w:p>
          <w:p>
            <w:pPr>
              <w:spacing w:after="80" w:before="0"/>
            </w:pPr>
            <w:r>
              <w:rPr>
                <w:rFonts w:ascii="Calibri" w:cs="Calibri" w:eastAsia="Calibri" w:hAnsi="Calibri"/>
                <w:sz w:val="12"/>
                <w:szCs w:val="12"/>
              </w:rPr>
              <w:t xml:space="preserve"/>
            </w:r>
          </w:p>
        </w:tc>
      </w:tr>
    </w:tbl>
    <w:p>
      <w:pPr>
        <w:spacing w:after="12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Value Realization — AIOps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3931"/>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Metric</w:t>
            </w:r>
          </w:p>
        </w:tc>
        <w:tc>
          <w:tcPr>
            <w:tcW w:type="dxa" w:w="2621"/>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With IBM AIOps</w:t>
            </w:r>
          </w:p>
        </w:tc>
        <w:tc>
          <w:tcPr>
            <w:tcW w:type="dxa" w:w="2808"/>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Est. Annual Value</w:t>
            </w:r>
          </w:p>
        </w:tc>
      </w:tr>
      <w:tr>
        <w:tc>
          <w:tcPr>
            <w:tcW w:type="dxa" w:w="393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MTTR (Mean Time to Resolve)</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&lt; 1.8 hours</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$2.0M – $3.0M</w:t>
            </w:r>
          </w:p>
        </w:tc>
      </w:tr>
      <w:tr>
        <w:tc>
          <w:tcPr>
            <w:tcW w:type="dxa" w:w="393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Alert Noise per Shift</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&gt; 60% Reduced</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$2.5M – $3.5M</w:t>
            </w:r>
          </w:p>
        </w:tc>
      </w:tr>
      <w:tr>
        <w:tc>
          <w:tcPr>
            <w:tcW w:type="dxa" w:w="393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P3/P4 Auto-Resolution</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&gt; 74%</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$1.5M – $2.0M</w:t>
            </w:r>
          </w:p>
        </w:tc>
      </w:tr>
      <w:tr>
        <w:tc>
          <w:tcPr>
            <w:tcW w:type="dxa" w:w="393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Change Failure Rate</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40% Reduction</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$0.8M – $1.2M</w:t>
            </w:r>
          </w:p>
        </w:tc>
      </w:tr>
      <w:tr>
        <w:tc>
          <w:tcPr>
            <w:tcW w:type="dxa" w:w="393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System Availability</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99.9%+</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$1.0M – $1.3M</w:t>
            </w:r>
          </w:p>
        </w:tc>
      </w:tr>
      <w:tr>
        <w:tc>
          <w:tcPr>
            <w:tcW w:type="dxa" w:w="393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Ops Manual Triage Hours</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~30% Reduction</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$1.3M – $1.5M</w:t>
            </w:r>
          </w:p>
        </w:tc>
      </w:tr>
    </w:tbl>
    <w:p>
      <w:pPr>
        <w:spacing w:after="160" w:before="0"/>
      </w:pPr>
      <w:r>
        <w:rPr>
          <w:rFonts w:ascii="Calibri" w:cs="Calibri" w:eastAsia="Calibri" w:hAnsi="Calibri"/>
          <w:sz w:val="12"/>
          <w:szCs w:val="12"/>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F62FE"/>
                <w:sz w:val="56"/>
                <w:szCs w:val="56"/>
              </w:rPr>
              <w:t xml:space="preserve">&gt;74%</w:t>
            </w:r>
          </w:p>
          <w:p>
            <w:pPr>
              <w:spacing w:after="160" w:before="0"/>
              <w:jc w:val="center"/>
            </w:pPr>
            <w:r>
              <w:rPr>
                <w:rFonts w:ascii="Calibri" w:cs="Calibri" w:eastAsia="Calibri" w:hAnsi="Calibri"/>
                <w:b/>
                <w:bCs/>
                <w:i w:val="false"/>
                <w:iCs w:val="false"/>
                <w:color w:val="001141"/>
                <w:sz w:val="19"/>
                <w:szCs w:val="19"/>
              </w:rPr>
              <w:t xml:space="preserve">P3/P4 Auto-Resolved</w:t>
            </w:r>
          </w:p>
        </w:tc>
        <w:tc>
          <w:tcPr>
            <w:tcW w:type="dxa" w:w="2340"/>
            <w:tcBorders>
              <w:top w:val="single" w:color="007D79"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7D79"/>
                <w:sz w:val="56"/>
                <w:szCs w:val="56"/>
              </w:rPr>
              <w:t xml:space="preserve">&gt;60%</w:t>
            </w:r>
          </w:p>
          <w:p>
            <w:pPr>
              <w:spacing w:after="160" w:before="0"/>
              <w:jc w:val="center"/>
            </w:pPr>
            <w:r>
              <w:rPr>
                <w:rFonts w:ascii="Calibri" w:cs="Calibri" w:eastAsia="Calibri" w:hAnsi="Calibri"/>
                <w:b/>
                <w:bCs/>
                <w:i w:val="false"/>
                <w:iCs w:val="false"/>
                <w:color w:val="001141"/>
                <w:sz w:val="19"/>
                <w:szCs w:val="19"/>
              </w:rPr>
              <w:t xml:space="preserve">Alert Noise Reduced</w:t>
            </w:r>
          </w:p>
        </w:tc>
        <w:tc>
          <w:tcPr>
            <w:tcW w:type="dxa" w:w="2340"/>
            <w:tcBorders>
              <w:top w:val="single" w:color="0043C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43CE"/>
                <w:sz w:val="56"/>
                <w:szCs w:val="56"/>
              </w:rPr>
              <w:t xml:space="preserve">99.9%+</w:t>
            </w:r>
          </w:p>
          <w:p>
            <w:pPr>
              <w:spacing w:after="160" w:before="0"/>
              <w:jc w:val="center"/>
            </w:pPr>
            <w:r>
              <w:rPr>
                <w:rFonts w:ascii="Calibri" w:cs="Calibri" w:eastAsia="Calibri" w:hAnsi="Calibri"/>
                <w:b/>
                <w:bCs/>
                <w:i w:val="false"/>
                <w:iCs w:val="false"/>
                <w:color w:val="001141"/>
                <w:sz w:val="19"/>
                <w:szCs w:val="19"/>
              </w:rPr>
              <w:t xml:space="preserve">System Availability</w:t>
            </w:r>
          </w:p>
        </w:tc>
        <w:tc>
          <w:tcPr>
            <w:tcW w:type="dxa" w:w="2340"/>
            <w:tcBorders>
              <w:top w:val="single" w:color="6929C4"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6929C4"/>
                <w:sz w:val="56"/>
                <w:szCs w:val="56"/>
              </w:rPr>
              <w:t xml:space="preserve">&lt;1.8 hrs</w:t>
            </w:r>
          </w:p>
          <w:p>
            <w:pPr>
              <w:spacing w:after="160" w:before="0"/>
              <w:jc w:val="center"/>
            </w:pPr>
            <w:r>
              <w:rPr>
                <w:rFonts w:ascii="Calibri" w:cs="Calibri" w:eastAsia="Calibri" w:hAnsi="Calibri"/>
                <w:b/>
                <w:bCs/>
                <w:i w:val="false"/>
                <w:iCs w:val="false"/>
                <w:color w:val="001141"/>
                <w:sz w:val="19"/>
                <w:szCs w:val="19"/>
              </w:rPr>
              <w:t xml:space="preserve">Mean Time to Resolve</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05  </w:t>
      </w:r>
      <w:r>
        <w:rPr>
          <w:rFonts w:ascii="Calibri" w:cs="Calibri" w:eastAsia="Calibri" w:hAnsi="Calibri"/>
          <w:b/>
          <w:bCs/>
          <w:i w:val="false"/>
          <w:iCs w:val="false"/>
          <w:color w:val="001141"/>
          <w:sz w:val="36"/>
          <w:szCs w:val="36"/>
        </w:rPr>
        <w:t xml:space="preserve">Quality Engineering</w:t>
      </w:r>
    </w:p>
    <w:p>
      <w:pPr>
        <w:spacing w:after="160" w:before="0"/>
      </w:pPr>
      <w:r>
        <w:rPr>
          <w:rFonts w:ascii="Calibri" w:cs="Calibri" w:eastAsia="Calibri" w:hAnsi="Calibri"/>
          <w:b w:val="false"/>
          <w:bCs w:val="false"/>
          <w:i/>
          <w:iCs/>
          <w:color w:val="8D8D8D"/>
          <w:sz w:val="20"/>
          <w:szCs w:val="20"/>
        </w:rPr>
        <w:t xml:space="preserve">Measurable Quality at Every Milestone — Improved with Every Release</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“Every undetected defect in a claims system is a patient who doesn’t get the care they need on time. Every missed test case is a provider who submits correctly and gets denied anyway. Quality is not a phase of delivery. Quality is the promise.”</w:t>
      </w:r>
    </w:p>
    <w:p>
      <w:pPr>
        <w:spacing w:after="120" w:before="0"/>
        <w:jc w:val="right"/>
      </w:pPr>
      <w:r>
        <w:rPr>
          <w:rFonts w:ascii="Calibri" w:cs="Calibri" w:eastAsia="Calibri" w:hAnsi="Calibri"/>
          <w:b/>
          <w:bCs/>
          <w:i w:val="false"/>
          <w:iCs w:val="false"/>
          <w:color w:val="0F62FE"/>
          <w:sz w:val="18"/>
          <w:szCs w:val="18"/>
        </w:rPr>
        <w:t xml:space="preserve">— IBM Quality Engineering</w:t>
      </w:r>
    </w:p>
    <w:p>
      <w:pPr>
        <w:spacing w:after="80" w:before="200"/>
      </w:pPr>
      <w:r>
        <w:rPr>
          <w:rFonts w:ascii="Calibri" w:cs="Calibri" w:eastAsia="Calibri" w:hAnsi="Calibri"/>
          <w:b/>
          <w:bCs/>
          <w:i w:val="false"/>
          <w:iCs w:val="false"/>
          <w:color w:val="001141"/>
          <w:sz w:val="24"/>
          <w:szCs w:val="24"/>
        </w:rPr>
        <w:t xml:space="preserve">Self-Improving Quality Framework</w:t>
      </w:r>
    </w:p>
    <w:p>
      <w:pPr>
        <w:spacing w:after="100" w:before="0"/>
      </w:pPr>
      <w:r>
        <w:rPr>
          <w:rFonts w:ascii="Calibri" w:cs="Calibri" w:eastAsia="Calibri" w:hAnsi="Calibri"/>
          <w:b w:val="false"/>
          <w:bCs w:val="false"/>
          <w:i w:val="false"/>
          <w:iCs w:val="false"/>
          <w:color w:val="525252"/>
          <w:sz w:val="21"/>
          <w:szCs w:val="21"/>
        </w:rPr>
        <w:t xml:space="preserve">IBM’s Quality Engineering model embeds measurable validation checkpoints across every stage of development and production — creating a closed-loop feedback system within the CI/CD pipeline. Production insights, defect analytics, and automation metrics continuously refine testing strategies, enabling sustained defect reduction, faster recovery, and progressive quality improvement over time.</w:t>
      </w:r>
    </w:p>
    <w:p>
      <w:pPr>
        <w:spacing w:after="80" w:before="200"/>
      </w:pPr>
      <w:r>
        <w:rPr>
          <w:rFonts w:ascii="Calibri" w:cs="Calibri" w:eastAsia="Calibri" w:hAnsi="Calibri"/>
          <w:b/>
          <w:bCs/>
          <w:i w:val="false"/>
          <w:iCs w:val="false"/>
          <w:color w:val="001141"/>
          <w:sz w:val="24"/>
          <w:szCs w:val="24"/>
        </w:rPr>
        <w:t xml:space="preserve">Quality Controls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End-to-end traceability and release readiness visibility.</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Defect leakage, density, and stability metrics (MTTR).</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Automation coverage with KPI-driven governance.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AI-driven defect insights and regression optimization.</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Production telemetry feeding back into test strategy.</w:t>
      </w:r>
    </w:p>
    <w:p>
      <w:pPr>
        <w:spacing w:after="80" w:before="200"/>
      </w:pPr>
      <w:r>
        <w:rPr>
          <w:rFonts w:ascii="Calibri" w:cs="Calibri" w:eastAsia="Calibri" w:hAnsi="Calibri"/>
          <w:b/>
          <w:bCs/>
          <w:i w:val="false"/>
          <w:iCs w:val="false"/>
          <w:color w:val="001141"/>
          <w:sz w:val="24"/>
          <w:szCs w:val="24"/>
        </w:rPr>
        <w:t xml:space="preserve">Intelligent Test Automation</w:t>
      </w:r>
    </w:p>
    <w:p>
      <w:pPr>
        <w:spacing w:after="100" w:before="0"/>
      </w:pPr>
      <w:r>
        <w:rPr>
          <w:rFonts w:ascii="Calibri" w:cs="Calibri" w:eastAsia="Calibri" w:hAnsi="Calibri"/>
          <w:b w:val="false"/>
          <w:bCs w:val="false"/>
          <w:i w:val="false"/>
          <w:iCs w:val="false"/>
          <w:color w:val="525252"/>
          <w:sz w:val="21"/>
          <w:szCs w:val="21"/>
        </w:rPr>
        <w:t xml:space="preserve">IBM’s Generative AI capabilities enable self-generating test cases, automated test maintenance, and continuous validation integration — dramatically reducing the cost and time associated with regression testing across Horizon’s complex, multi-system portfolio.</w:t>
      </w:r>
    </w:p>
    <w:p>
      <w:pPr>
        <w:spacing w:after="80" w:before="0"/>
      </w:pPr>
      <w:r>
        <w:rPr>
          <w:rFonts w:ascii="Calibri" w:cs="Calibri" w:eastAsia="Calibri" w:hAnsi="Calibri"/>
          <w:sz w:val="12"/>
          <w:szCs w:val="12"/>
        </w:rPr>
        <w:t xml:space="preserve"/>
      </w:r>
    </w:p>
    <w:p>
      <w:pPr>
        <w:shd w:fill="EBF2FF" w:val="clear"/>
        <w:spacing w:after="120" w:before="120"/>
        <w:ind w:left="360" w:right="360"/>
      </w:pPr>
      <w:r>
        <w:rPr>
          <w:rFonts w:ascii="Calibri" w:cs="Calibri" w:eastAsia="Calibri" w:hAnsi="Calibri"/>
          <w:b/>
          <w:bCs/>
          <w:i w:val="false"/>
          <w:iCs w:val="false"/>
          <w:color w:val="001141"/>
          <w:sz w:val="21"/>
          <w:szCs w:val="21"/>
        </w:rPr>
        <w:t xml:space="preserve">Target: 80% test automation coverage across Horizon’s application portfolio within 12 months of full deployment.</w:t>
      </w:r>
    </w:p>
    <w:p>
      <w:pPr>
        <w:spacing w:after="8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Quality Metrics — Before &amp; After</w:t>
      </w:r>
    </w:p>
    <w:p>
      <w:pPr>
        <w:spacing w:after="120" w:before="0"/>
      </w:pPr>
      <w:r>
        <w:rPr>
          <w:rFonts w:ascii="Calibri" w:cs="Calibri" w:eastAsia="Calibri" w:hAnsi="Calibri"/>
          <w:b w:val="false"/>
          <w:bCs w:val="false"/>
          <w:i/>
          <w:iCs/>
          <w:color w:val="8D8D8D"/>
          <w:sz w:val="19"/>
          <w:szCs w:val="19"/>
        </w:rPr>
        <w:t xml:space="preserve">IBM Quality Engineering targets across Horizon’s AMS portfolio — current state vs. 6- and 12-month programme milestones: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2621"/>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Quality Metric</w:t>
            </w:r>
          </w:p>
        </w:tc>
        <w:tc>
          <w:tcPr>
            <w:tcW w:type="dxa" w:w="1685"/>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Current State</w:t>
            </w:r>
          </w:p>
        </w:tc>
        <w:tc>
          <w:tcPr>
            <w:tcW w:type="dxa" w:w="1498"/>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6-Month Target</w:t>
            </w:r>
          </w:p>
        </w:tc>
        <w:tc>
          <w:tcPr>
            <w:tcW w:type="dxa" w:w="1498"/>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12-Month Target</w:t>
            </w:r>
          </w:p>
        </w:tc>
        <w:tc>
          <w:tcPr>
            <w:tcW w:type="dxa" w:w="2059"/>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Method</w:t>
            </w:r>
          </w:p>
        </w:tc>
      </w:tr>
      <w:tr>
        <w:tc>
          <w:tcPr>
            <w:tcW w:type="dxa" w:w="262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Test Automation Coverage</w:t>
            </w:r>
          </w:p>
        </w:tc>
        <w:tc>
          <w:tcPr>
            <w:tcW w:type="dxa" w:w="1685"/>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19"/>
                <w:szCs w:val="19"/>
              </w:rPr>
              <w:t xml:space="preserve">~25%</w:t>
            </w:r>
          </w:p>
        </w:tc>
        <w:tc>
          <w:tcPr>
            <w:tcW w:type="dxa" w:w="1498"/>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0043CE"/>
                <w:sz w:val="19"/>
                <w:szCs w:val="19"/>
              </w:rPr>
              <w:t xml:space="preserve">55%</w:t>
            </w:r>
          </w:p>
        </w:tc>
        <w:tc>
          <w:tcPr>
            <w:tcW w:type="dxa" w:w="149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19"/>
                <w:szCs w:val="19"/>
              </w:rPr>
              <w:t xml:space="preserve">80%+</w:t>
            </w:r>
          </w:p>
        </w:tc>
        <w:tc>
          <w:tcPr>
            <w:tcW w:type="dxa" w:w="2059"/>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18"/>
                <w:szCs w:val="18"/>
              </w:rPr>
              <w:t xml:space="preserve">GenAI self-generating tests</w:t>
            </w:r>
          </w:p>
        </w:tc>
      </w:tr>
      <w:tr>
        <w:tc>
          <w:tcPr>
            <w:tcW w:type="dxa" w:w="262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Defect Escape</w:t>
            </w:r>
          </w:p>
        </w:tc>
        <w:tc>
          <w:tcPr>
            <w:tcW w:type="dxa" w:w="1685"/>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19"/>
                <w:szCs w:val="19"/>
              </w:rPr>
              <w:t xml:space="preserve">High / tracked manually</w:t>
            </w:r>
          </w:p>
        </w:tc>
        <w:tc>
          <w:tcPr>
            <w:tcW w:type="dxa" w:w="1498"/>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0043CE"/>
                <w:sz w:val="19"/>
                <w:szCs w:val="19"/>
              </w:rPr>
              <w:t xml:space="preserve">40% reduction</w:t>
            </w:r>
          </w:p>
        </w:tc>
        <w:tc>
          <w:tcPr>
            <w:tcW w:type="dxa" w:w="149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19"/>
                <w:szCs w:val="19"/>
              </w:rPr>
              <w:t xml:space="preserve">65% reduction</w:t>
            </w:r>
          </w:p>
        </w:tc>
        <w:tc>
          <w:tcPr>
            <w:tcW w:type="dxa" w:w="2059"/>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18"/>
                <w:szCs w:val="18"/>
              </w:rPr>
              <w:t xml:space="preserve">AI defect prediction</w:t>
            </w:r>
          </w:p>
        </w:tc>
      </w:tr>
      <w:tr>
        <w:tc>
          <w:tcPr>
            <w:tcW w:type="dxa" w:w="262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Regression Cycle Time</w:t>
            </w:r>
          </w:p>
        </w:tc>
        <w:tc>
          <w:tcPr>
            <w:tcW w:type="dxa" w:w="1685"/>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19"/>
                <w:szCs w:val="19"/>
              </w:rPr>
              <w:t xml:space="preserve">Multi-day manual</w:t>
            </w:r>
          </w:p>
        </w:tc>
        <w:tc>
          <w:tcPr>
            <w:tcW w:type="dxa" w:w="1498"/>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0043CE"/>
                <w:sz w:val="19"/>
                <w:szCs w:val="19"/>
              </w:rPr>
              <w:t xml:space="preserve">50% faster</w:t>
            </w:r>
          </w:p>
        </w:tc>
        <w:tc>
          <w:tcPr>
            <w:tcW w:type="dxa" w:w="149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19"/>
                <w:szCs w:val="19"/>
              </w:rPr>
              <w:t xml:space="preserve">70% faster</w:t>
            </w:r>
          </w:p>
        </w:tc>
        <w:tc>
          <w:tcPr>
            <w:tcW w:type="dxa" w:w="2059"/>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18"/>
                <w:szCs w:val="18"/>
              </w:rPr>
              <w:t xml:space="preserve">Intelligent test selection</w:t>
            </w:r>
          </w:p>
        </w:tc>
      </w:tr>
      <w:tr>
        <w:tc>
          <w:tcPr>
            <w:tcW w:type="dxa" w:w="262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Mean Time to Detect</w:t>
            </w:r>
          </w:p>
        </w:tc>
        <w:tc>
          <w:tcPr>
            <w:tcW w:type="dxa" w:w="1685"/>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19"/>
                <w:szCs w:val="19"/>
              </w:rPr>
              <w:t xml:space="preserve">&gt; 2 hours</w:t>
            </w:r>
          </w:p>
        </w:tc>
        <w:tc>
          <w:tcPr>
            <w:tcW w:type="dxa" w:w="1498"/>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0043CE"/>
                <w:sz w:val="19"/>
                <w:szCs w:val="19"/>
              </w:rPr>
              <w:t xml:space="preserve">&lt; 30 min</w:t>
            </w:r>
          </w:p>
        </w:tc>
        <w:tc>
          <w:tcPr>
            <w:tcW w:type="dxa" w:w="149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19"/>
                <w:szCs w:val="19"/>
              </w:rPr>
              <w:t xml:space="preserve">&lt; 15 min</w:t>
            </w:r>
          </w:p>
        </w:tc>
        <w:tc>
          <w:tcPr>
            <w:tcW w:type="dxa" w:w="2059"/>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18"/>
                <w:szCs w:val="18"/>
              </w:rPr>
              <w:t xml:space="preserve">AIOps + telemetry feedback</w:t>
            </w:r>
          </w:p>
        </w:tc>
      </w:tr>
      <w:tr>
        <w:tc>
          <w:tcPr>
            <w:tcW w:type="dxa" w:w="262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AI-Generated Test Cases</w:t>
            </w:r>
          </w:p>
        </w:tc>
        <w:tc>
          <w:tcPr>
            <w:tcW w:type="dxa" w:w="1685"/>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19"/>
                <w:szCs w:val="19"/>
              </w:rPr>
              <w:t xml:space="preserve">&lt; 5%</w:t>
            </w:r>
          </w:p>
        </w:tc>
        <w:tc>
          <w:tcPr>
            <w:tcW w:type="dxa" w:w="1498"/>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0043CE"/>
                <w:sz w:val="19"/>
                <w:szCs w:val="19"/>
              </w:rPr>
              <w:t xml:space="preserve">40%+</w:t>
            </w:r>
          </w:p>
        </w:tc>
        <w:tc>
          <w:tcPr>
            <w:tcW w:type="dxa" w:w="149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19"/>
                <w:szCs w:val="19"/>
              </w:rPr>
              <w:t xml:space="preserve">&gt; 70%</w:t>
            </w:r>
          </w:p>
        </w:tc>
        <w:tc>
          <w:tcPr>
            <w:tcW w:type="dxa" w:w="2059"/>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18"/>
                <w:szCs w:val="18"/>
              </w:rPr>
              <w:t xml:space="preserve">IBM Consulting Advantage</w:t>
            </w:r>
          </w:p>
        </w:tc>
      </w:tr>
      <w:tr>
        <w:tc>
          <w:tcPr>
            <w:tcW w:type="dxa" w:w="262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Production Incident Rate</w:t>
            </w:r>
          </w:p>
        </w:tc>
        <w:tc>
          <w:tcPr>
            <w:tcW w:type="dxa" w:w="1685"/>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19"/>
                <w:szCs w:val="19"/>
              </w:rPr>
              <w:t xml:space="preserve">Baseline</w:t>
            </w:r>
          </w:p>
        </w:tc>
        <w:tc>
          <w:tcPr>
            <w:tcW w:type="dxa" w:w="1498"/>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0043CE"/>
                <w:sz w:val="19"/>
                <w:szCs w:val="19"/>
              </w:rPr>
              <w:t xml:space="preserve">20% reduction</w:t>
            </w:r>
          </w:p>
        </w:tc>
        <w:tc>
          <w:tcPr>
            <w:tcW w:type="dxa" w:w="149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19"/>
                <w:szCs w:val="19"/>
              </w:rPr>
              <w:t xml:space="preserve">40% reduction</w:t>
            </w:r>
          </w:p>
        </w:tc>
        <w:tc>
          <w:tcPr>
            <w:tcW w:type="dxa" w:w="2059"/>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18"/>
                <w:szCs w:val="18"/>
              </w:rPr>
              <w:t xml:space="preserve">Shift-left quality gates</w:t>
            </w:r>
          </w:p>
        </w:tc>
      </w:tr>
      <w:tr>
        <w:tc>
          <w:tcPr>
            <w:tcW w:type="dxa" w:w="262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Critical Defect Leakage</w:t>
            </w:r>
          </w:p>
        </w:tc>
        <w:tc>
          <w:tcPr>
            <w:tcW w:type="dxa" w:w="1685"/>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DA1E28"/>
                <w:sz w:val="19"/>
                <w:szCs w:val="19"/>
              </w:rPr>
              <w:t xml:space="preserve">Measured quarterly</w:t>
            </w:r>
          </w:p>
        </w:tc>
        <w:tc>
          <w:tcPr>
            <w:tcW w:type="dxa" w:w="1498"/>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0043CE"/>
                <w:sz w:val="19"/>
                <w:szCs w:val="19"/>
              </w:rPr>
              <w:t xml:space="preserve">Monthly SLA</w:t>
            </w:r>
          </w:p>
        </w:tc>
        <w:tc>
          <w:tcPr>
            <w:tcW w:type="dxa" w:w="149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19"/>
                <w:szCs w:val="19"/>
              </w:rPr>
              <w:t xml:space="preserve">Zero-leakage SLA</w:t>
            </w:r>
          </w:p>
        </w:tc>
        <w:tc>
          <w:tcPr>
            <w:tcW w:type="dxa" w:w="2059"/>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18"/>
                <w:szCs w:val="18"/>
              </w:rPr>
              <w:t xml:space="preserve">End-to-end traceability</w:t>
            </w:r>
          </w:p>
        </w:tc>
      </w:tr>
    </w:tbl>
    <w:p>
      <w:pPr>
        <w:spacing w:after="12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Test Automation Coverage Journey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Baseline  — Month 0</w:t>
            </w:r>
          </w:p>
        </w:tc>
        <w:tc>
          <w:tcPr>
            <w:tcW w:type="dxa" w:w="1350"/>
            <w:tcBorders>
              <w:top w:val="none" w:color="auto" w:sz="0"/>
              <w:left w:val="none" w:color="auto" w:sz="0"/>
              <w:bottom w:val="none" w:color="auto" w:sz="0"/>
              <w:right w:val="none" w:color="auto" w:sz="0"/>
            </w:tcBorders>
            <w:shd w:fill="8D8D8D" w:val="clear"/>
          </w:tcPr>
          <w:p>
            <w:pPr>
              <w:spacing w:after="0" w:before="0"/>
            </w:pPr>
            <w:r>
              <w:rPr>
                <w:rFonts w:ascii="Calibri" w:cs="Calibri" w:eastAsia="Calibri" w:hAnsi="Calibri"/>
                <w:sz w:val="12"/>
                <w:szCs w:val="12"/>
              </w:rPr>
              <w:t xml:space="preserve"/>
            </w:r>
          </w:p>
        </w:tc>
        <w:tc>
          <w:tcPr>
            <w:tcW w:type="dxa" w:w="405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8D8D8D"/>
                <w:sz w:val="19"/>
                <w:szCs w:val="19"/>
              </w:rPr>
              <w:t xml:space="preserve">~25%</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Ignite    — Month 3</w:t>
            </w:r>
          </w:p>
        </w:tc>
        <w:tc>
          <w:tcPr>
            <w:tcW w:type="dxa" w:w="2430"/>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12"/>
                <w:szCs w:val="12"/>
              </w:rPr>
              <w:t xml:space="preserve"/>
            </w:r>
          </w:p>
        </w:tc>
        <w:tc>
          <w:tcPr>
            <w:tcW w:type="dxa" w:w="297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072C3"/>
                <w:sz w:val="19"/>
                <w:szCs w:val="19"/>
              </w:rPr>
              <w:t xml:space="preserve">45%</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Scale     — Month 6</w:t>
            </w:r>
          </w:p>
        </w:tc>
        <w:tc>
          <w:tcPr>
            <w:tcW w:type="dxa" w:w="297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12"/>
                <w:szCs w:val="12"/>
              </w:rPr>
              <w:t xml:space="preserve"/>
            </w:r>
          </w:p>
        </w:tc>
        <w:tc>
          <w:tcPr>
            <w:tcW w:type="dxa" w:w="243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043CE"/>
                <w:sz w:val="19"/>
                <w:szCs w:val="19"/>
              </w:rPr>
              <w:t xml:space="preserve">55%</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Optimise  — Month 9</w:t>
            </w:r>
          </w:p>
        </w:tc>
        <w:tc>
          <w:tcPr>
            <w:tcW w:type="dxa" w:w="3888"/>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12"/>
                <w:szCs w:val="12"/>
              </w:rPr>
              <w:t xml:space="preserve"/>
            </w:r>
          </w:p>
        </w:tc>
        <w:tc>
          <w:tcPr>
            <w:tcW w:type="dxa" w:w="151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F62FE"/>
                <w:sz w:val="19"/>
                <w:szCs w:val="19"/>
              </w:rPr>
              <w:t xml:space="preserve">72%</w:t>
            </w:r>
          </w:p>
        </w:tc>
      </w:tr>
      <w:tr>
        <w:tc>
          <w:tcPr>
            <w:tcW w:type="dxa" w:w="2800"/>
            <w:tcBorders>
              <w:top w:val="none" w:color="auto" w:sz="0"/>
              <w:left w:val="none" w:color="auto" w:sz="0"/>
              <w:bottom w:val="none" w:color="auto" w:sz="0"/>
              <w:right w:val="none" w:color="auto" w:sz="0"/>
            </w:tcBorders>
            <w:shd w:fill="FFFFFF" w:val="clear"/>
            <w:tcMar>
              <w:top w:type="dxa" w:w="60"/>
              <w:bottom w:type="dxa" w:w="60"/>
              <w:right w:type="dxa" w:w="100"/>
            </w:tcMar>
            <w:vAlign w:val="center"/>
          </w:tcPr>
          <w:p>
            <w:pPr>
              <w:spacing w:after="0" w:before="0"/>
            </w:pPr>
            <w:r>
              <w:rPr>
                <w:rFonts w:ascii="Calibri" w:cs="Calibri" w:eastAsia="Calibri" w:hAnsi="Calibri"/>
                <w:b w:val="false"/>
                <w:bCs w:val="false"/>
                <w:i w:val="false"/>
                <w:iCs w:val="false"/>
                <w:color w:val="525252"/>
                <w:sz w:val="19"/>
                <w:szCs w:val="19"/>
              </w:rPr>
              <w:t xml:space="preserve">Target    — Month 12</w:t>
            </w:r>
          </w:p>
        </w:tc>
        <w:tc>
          <w:tcPr>
            <w:tcW w:type="dxa" w:w="4428"/>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12"/>
                <w:szCs w:val="12"/>
              </w:rPr>
              <w:t xml:space="preserve"/>
            </w:r>
          </w:p>
        </w:tc>
        <w:tc>
          <w:tcPr>
            <w:tcW w:type="dxa" w:w="97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12"/>
                <w:szCs w:val="12"/>
              </w:rPr>
              <w:t xml:space="preserve"/>
            </w:r>
          </w:p>
        </w:tc>
        <w:tc>
          <w:tcPr>
            <w:tcW w:type="dxa" w:w="1160"/>
            <w:tcBorders>
              <w:top w:val="none" w:color="auto" w:sz="0"/>
              <w:left w:val="none" w:color="auto" w:sz="0"/>
              <w:bottom w:val="none" w:color="auto" w:sz="0"/>
              <w:right w:val="none" w:color="auto" w:sz="0"/>
            </w:tcBorders>
            <w:shd w:fill="FFFFFF" w:val="clear"/>
            <w:tcMar>
              <w:top w:type="dxa" w:w="60"/>
              <w:left w:type="dxa" w:w="100"/>
              <w:bottom w:type="dxa" w:w="60"/>
            </w:tcMar>
            <w:vAlign w:val="center"/>
          </w:tcPr>
          <w:p>
            <w:pPr>
              <w:spacing w:after="0" w:before="0"/>
              <w:jc w:val="right"/>
            </w:pPr>
            <w:r>
              <w:rPr>
                <w:rFonts w:ascii="Calibri" w:cs="Calibri" w:eastAsia="Calibri" w:hAnsi="Calibri"/>
                <w:b/>
                <w:bCs/>
                <w:i w:val="false"/>
                <w:iCs w:val="false"/>
                <w:color w:val="001141"/>
                <w:sz w:val="19"/>
                <w:szCs w:val="19"/>
              </w:rPr>
              <w:t xml:space="preserve">80%+</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06  </w:t>
      </w:r>
      <w:r>
        <w:rPr>
          <w:rFonts w:ascii="Calibri" w:cs="Calibri" w:eastAsia="Calibri" w:hAnsi="Calibri"/>
          <w:b/>
          <w:bCs/>
          <w:i w:val="false"/>
          <w:iCs w:val="false"/>
          <w:color w:val="001141"/>
          <w:sz w:val="36"/>
          <w:szCs w:val="36"/>
        </w:rPr>
        <w:t xml:space="preserve">Member &amp; Provider Experience</w:t>
      </w:r>
    </w:p>
    <w:p>
      <w:pPr>
        <w:spacing w:after="160" w:before="0"/>
      </w:pPr>
      <w:r>
        <w:rPr>
          <w:rFonts w:ascii="Calibri" w:cs="Calibri" w:eastAsia="Calibri" w:hAnsi="Calibri"/>
          <w:b w:val="false"/>
          <w:bCs w:val="false"/>
          <w:i/>
          <w:iCs/>
          <w:color w:val="8D8D8D"/>
          <w:sz w:val="20"/>
          <w:szCs w:val="20"/>
        </w:rPr>
        <w:t xml:space="preserve">Every Operational Improvement Is Measured by the Human It Serves</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“The best technology is invisible to the member. The claim processes correctly. The prior auth comes back in hours, not days. The enrollment is seamless. The call center answers on the first ring. That is the measure. Everything else is infrastructure.”</w:t>
      </w:r>
    </w:p>
    <w:p>
      <w:pPr>
        <w:spacing w:after="120" w:before="0"/>
        <w:jc w:val="right"/>
      </w:pPr>
      <w:r>
        <w:rPr>
          <w:rFonts w:ascii="Calibri" w:cs="Calibri" w:eastAsia="Calibri" w:hAnsi="Calibri"/>
          <w:b/>
          <w:bCs/>
          <w:i w:val="false"/>
          <w:iCs w:val="false"/>
          <w:color w:val="0F62FE"/>
          <w:sz w:val="18"/>
          <w:szCs w:val="18"/>
        </w:rPr>
        <w:t xml:space="preserve">— IBM Consulting — Healthcare Payer Design</w:t>
      </w:r>
    </w:p>
    <w:p>
      <w:pPr>
        <w:spacing w:after="80" w:before="200"/>
      </w:pPr>
      <w:r>
        <w:rPr>
          <w:rFonts w:ascii="Calibri" w:cs="Calibri" w:eastAsia="Calibri" w:hAnsi="Calibri"/>
          <w:b/>
          <w:bCs/>
          <w:i w:val="false"/>
          <w:iCs w:val="false"/>
          <w:color w:val="001141"/>
          <w:sz w:val="24"/>
          <w:szCs w:val="24"/>
        </w:rPr>
        <w:t xml:space="preserve">Claims Operations Intelligence</w:t>
      </w:r>
    </w:p>
    <w:p>
      <w:pPr>
        <w:spacing w:after="100" w:before="0"/>
      </w:pPr>
      <w:r>
        <w:rPr>
          <w:rFonts w:ascii="Calibri" w:cs="Calibri" w:eastAsia="Calibri" w:hAnsi="Calibri"/>
          <w:b w:val="false"/>
          <w:bCs w:val="false"/>
          <w:i w:val="false"/>
          <w:iCs w:val="false"/>
          <w:color w:val="525252"/>
          <w:sz w:val="21"/>
          <w:szCs w:val="21"/>
        </w:rPr>
        <w:t xml:space="preserve">IBM’s CareOps360 platform surfaces real-time visibility into the claims lifecycle — from receipt through adjudication, settlement, and denial management. Operational leads and executives can identify queue bottlenecks, denial spikes, and auto-adjudication performance degradation in real time.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AI-enhanced auto-adjudication rules engine — reducing manual adjudication rates from baseline.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Denial pattern analytics — identifying root causes across procedure, eligibility, and coordination of benefits failures.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Real-time claims dashboard: volume by line of business, TAT trending, denial driver breakdown.</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SLA-bound adjudication commitments: turnaround time reduction target agreed at contract.</w:t>
      </w:r>
    </w:p>
    <w:p>
      <w:pPr>
        <w:spacing w:after="80" w:before="200"/>
      </w:pPr>
      <w:r>
        <w:rPr>
          <w:rFonts w:ascii="Calibri" w:cs="Calibri" w:eastAsia="Calibri" w:hAnsi="Calibri"/>
          <w:b/>
          <w:bCs/>
          <w:i w:val="false"/>
          <w:iCs w:val="false"/>
          <w:color w:val="001141"/>
          <w:sz w:val="24"/>
          <w:szCs w:val="24"/>
        </w:rPr>
        <w:t xml:space="preserve">Prior Authorization — AI-Assisted Review</w:t>
      </w:r>
    </w:p>
    <w:p>
      <w:pPr>
        <w:spacing w:after="100" w:before="0"/>
      </w:pPr>
      <w:r>
        <w:rPr>
          <w:rFonts w:ascii="Calibri" w:cs="Calibri" w:eastAsia="Calibri" w:hAnsi="Calibri"/>
          <w:b w:val="false"/>
          <w:bCs w:val="false"/>
          <w:i w:val="false"/>
          <w:iCs w:val="false"/>
          <w:color w:val="525252"/>
          <w:sz w:val="21"/>
          <w:szCs w:val="21"/>
        </w:rPr>
        <w:t xml:space="preserve">Prior authorization is a significant operational and member experience pressure point. IBM deploys AI-assisted review tooling to triage and prioritise requests, identify auto-approvable cases, and flag clinically complex cases for expedited human review.</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3931"/>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Prior Auth Metric</w:t>
            </w:r>
          </w:p>
        </w:tc>
        <w:tc>
          <w:tcPr>
            <w:tcW w:type="dxa" w:w="5429"/>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Target Direction</w:t>
            </w:r>
          </w:p>
        </w:tc>
      </w:tr>
      <w:tr>
        <w:tc>
          <w:tcPr>
            <w:tcW w:type="dxa" w:w="393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Requests Received Daily</w:t>
            </w:r>
          </w:p>
        </w:tc>
        <w:tc>
          <w:tcPr>
            <w:tcW w:type="dxa" w:w="5429"/>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Trend monitored weekly</w:t>
            </w:r>
          </w:p>
        </w:tc>
      </w:tr>
      <w:tr>
        <w:tc>
          <w:tcPr>
            <w:tcW w:type="dxa" w:w="393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Average Review Hours</w:t>
            </w:r>
          </w:p>
        </w:tc>
        <w:tc>
          <w:tcPr>
            <w:tcW w:type="dxa" w:w="5429"/>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Reduction target (baseline to agreed)</w:t>
            </w:r>
          </w:p>
        </w:tc>
      </w:tr>
      <w:tr>
        <w:tc>
          <w:tcPr>
            <w:tcW w:type="dxa" w:w="393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Urgent Request SLA</w:t>
            </w:r>
          </w:p>
        </w:tc>
        <w:tc>
          <w:tcPr>
            <w:tcW w:type="dxa" w:w="5429"/>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100% within 72-hr regulatory SLA</w:t>
            </w:r>
          </w:p>
        </w:tc>
      </w:tr>
      <w:tr>
        <w:tc>
          <w:tcPr>
            <w:tcW w:type="dxa" w:w="393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Backlog Size</w:t>
            </w:r>
          </w:p>
        </w:tc>
        <w:tc>
          <w:tcPr>
            <w:tcW w:type="dxa" w:w="5429"/>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Reduction tracked monthly</w:t>
            </w:r>
          </w:p>
        </w:tc>
      </w:tr>
      <w:tr>
        <w:tc>
          <w:tcPr>
            <w:tcW w:type="dxa" w:w="393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Auto-Approval Rate (low-risk)</w:t>
            </w:r>
          </w:p>
        </w:tc>
        <w:tc>
          <w:tcPr>
            <w:tcW w:type="dxa" w:w="5429"/>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Increase target: &gt;40% by Month 12</w:t>
            </w:r>
          </w:p>
        </w:tc>
      </w:tr>
    </w:tbl>
    <w:p>
      <w:pPr>
        <w:spacing w:after="80" w:before="0"/>
      </w:pPr>
      <w:r>
        <w:rPr>
          <w:rFonts w:ascii="Calibri" w:cs="Calibri" w:eastAsia="Calibri" w:hAnsi="Calibri"/>
          <w:sz w:val="12"/>
          <w:szCs w:val="12"/>
        </w:rPr>
        <w:t xml:space="preserve"/>
      </w:r>
    </w:p>
    <w:p>
      <w:pPr>
        <w:shd w:fill="EBF2FF" w:val="clear"/>
        <w:spacing w:after="120" w:before="120"/>
        <w:ind w:left="360" w:right="360"/>
      </w:pPr>
      <w:r>
        <w:rPr>
          <w:rFonts w:ascii="Calibri" w:cs="Calibri" w:eastAsia="Calibri" w:hAnsi="Calibri"/>
          <w:b/>
          <w:bCs/>
          <w:i w:val="false"/>
          <w:iCs w:val="false"/>
          <w:color w:val="001141"/>
          <w:sz w:val="21"/>
          <w:szCs w:val="21"/>
        </w:rPr>
        <w:t xml:space="preserve">Target: 100% of urgent prior auth requests resolved within regulatory SLA. AI-assisted triage to reduce average review time by 30%+ within 12 months.</w:t>
      </w:r>
    </w:p>
    <w:p>
      <w:pPr>
        <w:spacing w:after="80" w:before="200"/>
      </w:pPr>
      <w:r>
        <w:rPr>
          <w:rFonts w:ascii="Calibri" w:cs="Calibri" w:eastAsia="Calibri" w:hAnsi="Calibri"/>
          <w:b/>
          <w:bCs/>
          <w:i w:val="false"/>
          <w:iCs w:val="false"/>
          <w:color w:val="001141"/>
          <w:sz w:val="24"/>
          <w:szCs w:val="24"/>
        </w:rPr>
        <w:t xml:space="preserve">Enrollment Intelligence</w:t>
      </w:r>
    </w:p>
    <w:p>
      <w:pPr>
        <w:spacing w:after="100" w:before="0"/>
      </w:pPr>
      <w:r>
        <w:rPr>
          <w:rFonts w:ascii="Calibri" w:cs="Calibri" w:eastAsia="Calibri" w:hAnsi="Calibri"/>
          <w:b w:val="false"/>
          <w:bCs w:val="false"/>
          <w:i w:val="false"/>
          <w:iCs w:val="false"/>
          <w:color w:val="525252"/>
          <w:sz w:val="21"/>
          <w:szCs w:val="21"/>
        </w:rPr>
        <w:t xml:space="preserve">Horizon’s enrollment pipeline processes tens of thousands of records across individual, group, commercial, and government segments. IBM transforms this from a reactive batch function into a proactive, real-time, AI-augmented enrollment operations capability.</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Canonical 834 Transformation — all channels converted to Horizon canonical format at intake.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Real-Time Validation — errors caught in minutes, not hours, with companion guide ingestion built in.</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Shift-Left Member Mastering — COB resolved and HUMI assigned earlier, improving auto-match rate.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Agentic Remediation — majority of exceptions auto-resolved with confidence scoring and RCA generation.</w:t>
      </w:r>
    </w:p>
    <w:p>
      <w:pPr>
        <w:spacing w:after="80" w:before="200"/>
      </w:pPr>
      <w:r>
        <w:rPr>
          <w:rFonts w:ascii="Calibri" w:cs="Calibri" w:eastAsia="Calibri" w:hAnsi="Calibri"/>
          <w:b/>
          <w:bCs/>
          <w:i w:val="false"/>
          <w:iCs w:val="false"/>
          <w:color w:val="001141"/>
          <w:sz w:val="24"/>
          <w:szCs w:val="24"/>
        </w:rPr>
        <w:t xml:space="preserve">Business Domain KPIs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2434"/>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Business Domain</w:t>
            </w:r>
          </w:p>
        </w:tc>
        <w:tc>
          <w:tcPr>
            <w:tcW w:type="dxa" w:w="4306"/>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Key Member/Provider Metric</w:t>
            </w:r>
          </w:p>
        </w:tc>
        <w:tc>
          <w:tcPr>
            <w:tcW w:type="dxa" w:w="2621"/>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12-Month Target</w:t>
            </w:r>
          </w:p>
        </w:tc>
      </w:tr>
      <w:tr>
        <w:tc>
          <w:tcPr>
            <w:tcW w:type="dxa" w:w="2434"/>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Claims Operations</w:t>
            </w:r>
          </w:p>
        </w:tc>
        <w:tc>
          <w:tcPr>
            <w:tcW w:type="dxa" w:w="430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Adjudication cycle time</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−30%</w:t>
            </w:r>
          </w:p>
        </w:tc>
      </w:tr>
      <w:tr>
        <w:tc>
          <w:tcPr>
            <w:tcW w:type="dxa" w:w="2434"/>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Prior Authorization</w:t>
            </w:r>
          </w:p>
        </w:tc>
        <w:tc>
          <w:tcPr>
            <w:tcW w:type="dxa" w:w="430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Average review turnaround</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−30%+</w:t>
            </w:r>
          </w:p>
        </w:tc>
      </w:tr>
      <w:tr>
        <w:tc>
          <w:tcPr>
            <w:tcW w:type="dxa" w:w="2434"/>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Enrollment</w:t>
            </w:r>
          </w:p>
        </w:tc>
        <w:tc>
          <w:tcPr>
            <w:tcW w:type="dxa" w:w="430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Time-to-good (intake to validated)</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−40%</w:t>
            </w:r>
          </w:p>
        </w:tc>
      </w:tr>
      <w:tr>
        <w:tc>
          <w:tcPr>
            <w:tcW w:type="dxa" w:w="2434"/>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Member Services</w:t>
            </w:r>
          </w:p>
        </w:tc>
        <w:tc>
          <w:tcPr>
            <w:tcW w:type="dxa" w:w="430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First-contact resolution rate</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+25%</w:t>
            </w:r>
          </w:p>
        </w:tc>
      </w:tr>
      <w:tr>
        <w:tc>
          <w:tcPr>
            <w:tcW w:type="dxa" w:w="2434"/>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Provider Operations</w:t>
            </w:r>
          </w:p>
        </w:tc>
        <w:tc>
          <w:tcPr>
            <w:tcW w:type="dxa" w:w="430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Prior auth auto-approval rate</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&gt;40%</w:t>
            </w:r>
          </w:p>
        </w:tc>
      </w:tr>
      <w:tr>
        <w:tc>
          <w:tcPr>
            <w:tcW w:type="dxa" w:w="2434"/>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IT Operations</w:t>
            </w:r>
          </w:p>
        </w:tc>
        <w:tc>
          <w:tcPr>
            <w:tcW w:type="dxa" w:w="430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P3/P4 auto-resolution rate</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&gt;74%</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07  </w:t>
      </w:r>
      <w:r>
        <w:rPr>
          <w:rFonts w:ascii="Calibri" w:cs="Calibri" w:eastAsia="Calibri" w:hAnsi="Calibri"/>
          <w:b/>
          <w:bCs/>
          <w:i w:val="false"/>
          <w:iCs w:val="false"/>
          <w:color w:val="001141"/>
          <w:sz w:val="36"/>
          <w:szCs w:val="36"/>
        </w:rPr>
        <w:t xml:space="preserve">CareOps360 Command Center</w:t>
      </w:r>
    </w:p>
    <w:p>
      <w:pPr>
        <w:spacing w:after="160" w:before="0"/>
      </w:pPr>
      <w:r>
        <w:rPr>
          <w:rFonts w:ascii="Calibri" w:cs="Calibri" w:eastAsia="Calibri" w:hAnsi="Calibri"/>
          <w:b w:val="false"/>
          <w:bCs w:val="false"/>
          <w:i/>
          <w:iCs/>
          <w:color w:val="8D8D8D"/>
          <w:sz w:val="20"/>
          <w:szCs w:val="20"/>
        </w:rPr>
        <w:t xml:space="preserve">IBM’s Executive Operations Platform for Real-Time AMS Visibility at Horizon</w:t>
      </w:r>
    </w:p>
    <w:p>
      <w:pPr>
        <w:spacing w:after="80" w:before="200"/>
      </w:pPr>
      <w:r>
        <w:rPr>
          <w:rFonts w:ascii="Calibri" w:cs="Calibri" w:eastAsia="Calibri" w:hAnsi="Calibri"/>
          <w:b/>
          <w:bCs/>
          <w:i w:val="false"/>
          <w:iCs w:val="false"/>
          <w:color w:val="001141"/>
          <w:sz w:val="24"/>
          <w:szCs w:val="24"/>
        </w:rPr>
        <w:t xml:space="preserve">What Is CareOps360?</w:t>
      </w:r>
    </w:p>
    <w:p>
      <w:pPr>
        <w:spacing w:after="100" w:before="0"/>
      </w:pPr>
      <w:r>
        <w:rPr>
          <w:rFonts w:ascii="Calibri" w:cs="Calibri" w:eastAsia="Calibri" w:hAnsi="Calibri"/>
          <w:b w:val="false"/>
          <w:bCs w:val="false"/>
          <w:i w:val="false"/>
          <w:iCs w:val="false"/>
          <w:color w:val="525252"/>
          <w:sz w:val="21"/>
          <w:szCs w:val="21"/>
        </w:rPr>
        <w:t xml:space="preserve">CareOps360 is IBM’s production-grade executive operations platform purpose-built for the Horizon BCBS engagement. It delivers real-time operational intelligence across all AMS towers — enrollment, claims, applications, infrastructure, and quality — through a single, unified command center accessible to Horizon’s executive and operational leadership.</w:t>
      </w:r>
    </w:p>
    <w:p>
      <w:pPr>
        <w:spacing w:after="100" w:before="0"/>
      </w:pPr>
      <w:r>
        <w:rPr>
          <w:rFonts w:ascii="Calibri" w:cs="Calibri" w:eastAsia="Calibri" w:hAnsi="Calibri"/>
          <w:b w:val="false"/>
          <w:bCs w:val="false"/>
          <w:i w:val="false"/>
          <w:iCs w:val="false"/>
          <w:color w:val="525252"/>
          <w:sz w:val="21"/>
          <w:szCs w:val="21"/>
        </w:rPr>
        <w:t xml:space="preserve">Built on IBM’s AIOps observability framework, CareOps360 surfaces predictive insights, SLA performance, enrollment intelligence, digital front door metrics, and transformation roadmap progress — eliminating the need for manual reporting aggregation.</w:t>
      </w:r>
    </w:p>
    <w:p>
      <w:pPr>
        <w:spacing w:after="80" w:before="200"/>
      </w:pPr>
      <w:r>
        <w:rPr>
          <w:rFonts w:ascii="Calibri" w:cs="Calibri" w:eastAsia="Calibri" w:hAnsi="Calibri"/>
          <w:b/>
          <w:bCs/>
          <w:i w:val="false"/>
          <w:iCs w:val="false"/>
          <w:color w:val="001141"/>
          <w:sz w:val="24"/>
          <w:szCs w:val="24"/>
        </w:rPr>
        <w:t xml:space="preserve">Dashboards Delivered</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Executive Overview — Cross-tower operational pulse with 8 real-time KPI tiles.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Application Health — 500+ app inventory, incident register, availability trends.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Claims Operations — Daily volume, adjudication queue, denial analytics.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Prior Authorization — Backlog, review SLA, procedure-level approval rates.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Enrollment Intelligence — AI-assisted intake, pipeline health, surge detection.</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Member Services — Contact center, chatbot containment, digital adoption.</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IBM AIOps Value — Automation savings, shift-left rate, self-heal event tracking.</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Transformation Roadmap — Initiative portfolio with phase and risk status.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Capability Uplift — Workforce certification, automation coverage, AI readiness.</w:t>
      </w:r>
    </w:p>
    <w:p>
      <w:pPr>
        <w:spacing w:after="80" w:before="200"/>
      </w:pPr>
      <w:r>
        <w:rPr>
          <w:rFonts w:ascii="Calibri" w:cs="Calibri" w:eastAsia="Calibri" w:hAnsi="Calibri"/>
          <w:b/>
          <w:bCs/>
          <w:i w:val="false"/>
          <w:iCs w:val="false"/>
          <w:color w:val="001141"/>
          <w:sz w:val="24"/>
          <w:szCs w:val="24"/>
        </w:rPr>
        <w:t xml:space="preserve">Metrics Monitored via CareOps360</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2434"/>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Metric Domain</w:t>
            </w:r>
          </w:p>
        </w:tc>
        <w:tc>
          <w:tcPr>
            <w:tcW w:type="dxa" w:w="6926"/>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What Will Be Tracked</w:t>
            </w:r>
          </w:p>
        </w:tc>
      </w:tr>
      <w:tr>
        <w:tc>
          <w:tcPr>
            <w:tcW w:type="dxa" w:w="2434"/>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Application Ops</w:t>
            </w:r>
          </w:p>
        </w:tc>
        <w:tc>
          <w:tcPr>
            <w:tcW w:type="dxa" w:w="692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Availability, MTTR, incident volume by severity</w:t>
            </w:r>
          </w:p>
        </w:tc>
      </w:tr>
      <w:tr>
        <w:tc>
          <w:tcPr>
            <w:tcW w:type="dxa" w:w="2434"/>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Claims</w:t>
            </w:r>
          </w:p>
        </w:tc>
        <w:tc>
          <w:tcPr>
            <w:tcW w:type="dxa" w:w="692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Volume, adjudication rate, TAT, denial drivers</w:t>
            </w:r>
          </w:p>
        </w:tc>
      </w:tr>
      <w:tr>
        <w:tc>
          <w:tcPr>
            <w:tcW w:type="dxa" w:w="2434"/>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Prior Auth</w:t>
            </w:r>
          </w:p>
        </w:tc>
        <w:tc>
          <w:tcPr>
            <w:tcW w:type="dxa" w:w="692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Backlog, review SLA, auto-approval rate</w:t>
            </w:r>
          </w:p>
        </w:tc>
      </w:tr>
      <w:tr>
        <w:tc>
          <w:tcPr>
            <w:tcW w:type="dxa" w:w="2434"/>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Enrollment</w:t>
            </w:r>
          </w:p>
        </w:tc>
        <w:tc>
          <w:tcPr>
            <w:tcW w:type="dxa" w:w="692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Time-to-good, auto-match rate, queue health</w:t>
            </w:r>
          </w:p>
        </w:tc>
      </w:tr>
      <w:tr>
        <w:tc>
          <w:tcPr>
            <w:tcW w:type="dxa" w:w="2434"/>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Member Services</w:t>
            </w:r>
          </w:p>
        </w:tc>
        <w:tc>
          <w:tcPr>
            <w:tcW w:type="dxa" w:w="692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ASA, FCR, chatbot containment, digital adoption</w:t>
            </w:r>
          </w:p>
        </w:tc>
      </w:tr>
      <w:tr>
        <w:tc>
          <w:tcPr>
            <w:tcW w:type="dxa" w:w="2434"/>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AIOps Value</w:t>
            </w:r>
          </w:p>
        </w:tc>
        <w:tc>
          <w:tcPr>
            <w:tcW w:type="dxa" w:w="692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Savings YTD, shift-left rate, self-heal events</w:t>
            </w:r>
          </w:p>
        </w:tc>
      </w:tr>
      <w:tr>
        <w:tc>
          <w:tcPr>
            <w:tcW w:type="dxa" w:w="2434"/>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Transformation</w:t>
            </w:r>
          </w:p>
        </w:tc>
        <w:tc>
          <w:tcPr>
            <w:tcW w:type="dxa" w:w="692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Phase progress, milestone risk, initiative velocity</w:t>
            </w:r>
          </w:p>
        </w:tc>
      </w:tr>
    </w:tbl>
    <w:p>
      <w:pPr>
        <w:spacing w:after="8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Access &amp; Security</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Role-based access: IBM and Horizon executives.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Token-authenticated sessions with inactivity timeout.</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HIPAA-compliant — no PHI data in the command center.</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Architecture-ready for production data integration.</w:t>
      </w:r>
    </w:p>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08  </w:t>
      </w:r>
      <w:r>
        <w:rPr>
          <w:rFonts w:ascii="Calibri" w:cs="Calibri" w:eastAsia="Calibri" w:hAnsi="Calibri"/>
          <w:b/>
          <w:bCs/>
          <w:i w:val="false"/>
          <w:iCs w:val="false"/>
          <w:color w:val="001141"/>
          <w:sz w:val="36"/>
          <w:szCs w:val="36"/>
        </w:rPr>
        <w:t xml:space="preserve">Phased Delivery Roadmap</w:t>
      </w:r>
    </w:p>
    <w:p>
      <w:pPr>
        <w:spacing w:after="160" w:before="0"/>
      </w:pPr>
      <w:r>
        <w:rPr>
          <w:rFonts w:ascii="Calibri" w:cs="Calibri" w:eastAsia="Calibri" w:hAnsi="Calibri"/>
          <w:b w:val="false"/>
          <w:bCs w:val="false"/>
          <w:i/>
          <w:iCs/>
          <w:color w:val="8D8D8D"/>
          <w:sz w:val="20"/>
          <w:szCs w:val="20"/>
        </w:rPr>
        <w:t xml:space="preserve">A Structured, Compounding Journey from Stabilization to Autonomous Operations</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“Every day a claim processes faster, a prior auth returns sooner, or an outage resolves before a provider notices — that is a day Horizon’s members experience the IBM difference. That starts in Week 1, not Year 2.”</w:t>
      </w:r>
    </w:p>
    <w:p>
      <w:pPr>
        <w:spacing w:after="120" w:before="0"/>
        <w:jc w:val="right"/>
      </w:pPr>
      <w:r>
        <w:rPr>
          <w:rFonts w:ascii="Calibri" w:cs="Calibri" w:eastAsia="Calibri" w:hAnsi="Calibri"/>
          <w:b/>
          <w:bCs/>
          <w:i w:val="false"/>
          <w:iCs w:val="false"/>
          <w:color w:val="0F62FE"/>
          <w:sz w:val="18"/>
          <w:szCs w:val="18"/>
        </w:rPr>
        <w:t xml:space="preserve">— IBM Delivery Governance</w:t>
      </w:r>
    </w:p>
    <w:p>
      <w:pPr>
        <w:spacing w:after="100" w:before="0"/>
      </w:pPr>
      <w:r>
        <w:rPr>
          <w:rFonts w:ascii="Calibri" w:cs="Calibri" w:eastAsia="Calibri" w:hAnsi="Calibri"/>
          <w:b w:val="false"/>
          <w:bCs w:val="false"/>
          <w:i w:val="false"/>
          <w:iCs w:val="false"/>
          <w:color w:val="525252"/>
          <w:sz w:val="21"/>
          <w:szCs w:val="21"/>
        </w:rPr>
        <w:t xml:space="preserve">IBM’s proposed transformation follows a structured, phased approach — delivering quick wins in the immediate term while building the foundation for long-term enterprise transformation. Each phase builds on the last, compounding value across the portfolio.</w:t>
      </w:r>
    </w:p>
    <w:p>
      <w:pPr>
        <w:spacing w:after="80" w:before="0"/>
      </w:pPr>
      <w:r>
        <w:rPr>
          <w:rFonts w:ascii="Calibri" w:cs="Calibri" w:eastAsia="Calibri" w:hAnsi="Calibri"/>
          <w:sz w:val="12"/>
          <w:szCs w:val="12"/>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1310"/>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Phase</w:t>
            </w:r>
          </w:p>
        </w:tc>
        <w:tc>
          <w:tcPr>
            <w:tcW w:type="dxa" w:w="936"/>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Timeframe</w:t>
            </w:r>
          </w:p>
        </w:tc>
        <w:tc>
          <w:tcPr>
            <w:tcW w:type="dxa" w:w="4306"/>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Key Deliverables</w:t>
            </w:r>
          </w:p>
        </w:tc>
        <w:tc>
          <w:tcPr>
            <w:tcW w:type="dxa" w:w="2808"/>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Value Signal</w:t>
            </w:r>
          </w:p>
        </w:tc>
      </w:tr>
      <w:tr>
        <w:tc>
          <w:tcPr>
            <w:tcW w:type="dxa" w:w="1310"/>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01141"/>
                <w:sz w:val="20"/>
                <w:szCs w:val="20"/>
              </w:rPr>
              <w:t xml:space="preserve">Phase 0
Foundation</w:t>
            </w:r>
          </w:p>
        </w:tc>
        <w:tc>
          <w:tcPr>
            <w:tcW w:type="dxa" w:w="93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8D8D8D"/>
                <w:sz w:val="20"/>
                <w:szCs w:val="20"/>
              </w:rPr>
              <w:t xml:space="preserve">0–8 Wks</w:t>
            </w:r>
          </w:p>
        </w:tc>
        <w:tc>
          <w:tcPr>
            <w:tcW w:type="dxa" w:w="430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CareOps360 blueprint  ·  AIOps baseline  ·  Transition planning  ·  AI-assisted dev + intelligent QA rollout</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Live dashboards  ·  Baselines agreed  ·  Zero BAU disruption</w:t>
            </w:r>
          </w:p>
        </w:tc>
      </w:tr>
      <w:tr>
        <w:tc>
          <w:tcPr>
            <w:tcW w:type="dxa" w:w="1310"/>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01141"/>
                <w:sz w:val="20"/>
                <w:szCs w:val="20"/>
              </w:rPr>
              <w:t xml:space="preserve">Phase 1
Ignite</w:t>
            </w:r>
          </w:p>
        </w:tc>
        <w:tc>
          <w:tcPr>
            <w:tcW w:type="dxa" w:w="93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8D8D8D"/>
                <w:sz w:val="20"/>
                <w:szCs w:val="20"/>
              </w:rPr>
              <w:t xml:space="preserve">Mo 1–3</w:t>
            </w:r>
          </w:p>
        </w:tc>
        <w:tc>
          <w:tcPr>
            <w:tcW w:type="dxa" w:w="430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Integration simplification  ·  AIOps on production  ·  Test automation framework  ·  Innovation Council  ·  GenAI dev lifecycle</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MTTR −20%  ·  First automation ROI  ·  QE coverage 45%</w:t>
            </w:r>
          </w:p>
        </w:tc>
      </w:tr>
      <w:tr>
        <w:tc>
          <w:tcPr>
            <w:tcW w:type="dxa" w:w="1310"/>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01141"/>
                <w:sz w:val="20"/>
                <w:szCs w:val="20"/>
              </w:rPr>
              <w:t xml:space="preserve">Phase 2
Scale</w:t>
            </w:r>
          </w:p>
        </w:tc>
        <w:tc>
          <w:tcPr>
            <w:tcW w:type="dxa" w:w="93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8D8D8D"/>
                <w:sz w:val="20"/>
                <w:szCs w:val="20"/>
              </w:rPr>
              <w:t xml:space="preserve">Mo 3–6</w:t>
            </w:r>
          </w:p>
        </w:tc>
        <w:tc>
          <w:tcPr>
            <w:tcW w:type="dxa" w:w="430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Agentic AI incident triage live  ·  Digital Front Door blueprint  ·  COBOL → Java pilot  ·  Mainframe modernization initiated</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Auto-resolve &gt;50%  ·  Defect escape −40%  ·  $3–5M cumulative</w:t>
            </w:r>
          </w:p>
        </w:tc>
      </w:tr>
      <w:tr>
        <w:tc>
          <w:tcPr>
            <w:tcW w:type="dxa" w:w="1310"/>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01141"/>
                <w:sz w:val="20"/>
                <w:szCs w:val="20"/>
              </w:rPr>
              <w:t xml:space="preserve">Phase 3
Optimize</w:t>
            </w:r>
          </w:p>
        </w:tc>
        <w:tc>
          <w:tcPr>
            <w:tcW w:type="dxa" w:w="93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8D8D8D"/>
                <w:sz w:val="20"/>
                <w:szCs w:val="20"/>
              </w:rPr>
              <w:t xml:space="preserve">Mo 6–12</w:t>
            </w:r>
          </w:p>
        </w:tc>
        <w:tc>
          <w:tcPr>
            <w:tcW w:type="dxa" w:w="4306"/>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Full incident autonomy  ·  Claims adjudication parallel run  ·  Predictive capacity management  ·  QE 80%+</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Cost takeout $6–10M  ·  MTTR &lt;1.8 hrs  ·  99.9%+ availability</w:t>
            </w:r>
          </w:p>
        </w:tc>
      </w:tr>
      <w:tr>
        <w:tc>
          <w:tcPr>
            <w:tcW w:type="dxa" w:w="1310"/>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01141"/>
                <w:sz w:val="20"/>
                <w:szCs w:val="20"/>
              </w:rPr>
              <w:t xml:space="preserve">Phase 4
Transform</w:t>
            </w:r>
          </w:p>
        </w:tc>
        <w:tc>
          <w:tcPr>
            <w:tcW w:type="dxa" w:w="93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jc w:val="center"/>
            </w:pPr>
            <w:r>
              <w:rPr>
                <w:rFonts w:ascii="Calibri" w:cs="Calibri" w:eastAsia="Calibri" w:hAnsi="Calibri"/>
                <w:b w:val="false"/>
                <w:bCs w:val="false"/>
                <w:i w:val="false"/>
                <w:iCs w:val="false"/>
                <w:color w:val="8D8D8D"/>
                <w:sz w:val="20"/>
                <w:szCs w:val="20"/>
              </w:rPr>
              <w:t xml:space="preserve">Yr 1–2</w:t>
            </w:r>
          </w:p>
        </w:tc>
        <w:tc>
          <w:tcPr>
            <w:tcW w:type="dxa" w:w="4306"/>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Full autonomous P3/P4 operations  ·  Enterprise-wide observability  ·  Mainframe migration complete  ·  Member front door operationalized</w:t>
            </w:r>
          </w:p>
        </w:tc>
        <w:tc>
          <w:tcPr>
            <w:tcW w:type="dxa" w:w="2808"/>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0F62FE"/>
                <w:sz w:val="20"/>
                <w:szCs w:val="20"/>
              </w:rPr>
              <w:t xml:space="preserve">Cost takeout 40–50%  ·  Total value $12–18M+</w:t>
            </w:r>
          </w:p>
        </w:tc>
      </w:tr>
    </w:tbl>
    <w:p>
      <w:pPr>
        <w:spacing w:after="12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Governance at Every Phase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Executive Steering Committee: Quarterly IBM VP + Horizon CIO/COO review.</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Program Management Office: Monthly health reporting and risk register.</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Delivery Operations Reviews: Bi-weekly SLA and incident trends.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Financial Governance: Monthly actuals vs. committed model.</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Innovation Council: Quarterly idea pipeline and prioritization.</w:t>
      </w:r>
    </w:p>
    <w:p>
      <w:pPr>
        <w:spacing w:after="12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Transformation Portfolio at a Glance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60 total initiatives across 3 delivery years.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25 Year 1 initiatives — Technical Debt, Digital, Payer.</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15 Active / In-Flight as of programme launch.</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All initiatives tracked live in CareOps360’s Transformation Roadmap dashboard.</w:t>
      </w:r>
    </w:p>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09  </w:t>
      </w:r>
      <w:r>
        <w:rPr>
          <w:rFonts w:ascii="Calibri" w:cs="Calibri" w:eastAsia="Calibri" w:hAnsi="Calibri"/>
          <w:b/>
          <w:bCs/>
          <w:i w:val="false"/>
          <w:iCs w:val="false"/>
          <w:color w:val="001141"/>
          <w:sz w:val="36"/>
          <w:szCs w:val="36"/>
        </w:rPr>
        <w:t xml:space="preserve">Transformation Opportunities</w:t>
      </w:r>
    </w:p>
    <w:p>
      <w:pPr>
        <w:spacing w:after="160" w:before="0"/>
      </w:pPr>
      <w:r>
        <w:rPr>
          <w:rFonts w:ascii="Calibri" w:cs="Calibri" w:eastAsia="Calibri" w:hAnsi="Calibri"/>
          <w:b w:val="false"/>
          <w:bCs w:val="false"/>
          <w:i/>
          <w:iCs/>
          <w:color w:val="8D8D8D"/>
          <w:sz w:val="20"/>
          <w:szCs w:val="20"/>
        </w:rPr>
        <w:t xml:space="preserve">Platform Modernization, Mainframe Migration &amp; Technical Debt Governance</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“A provider should never have to wait because a batch integration only runs overnight. A member should never be denied because an eligibility rule is trapped in a mainframe subroutine from 1997. Modernization is not a technology programme — it is a member experience programme.”</w:t>
      </w:r>
    </w:p>
    <w:p>
      <w:pPr>
        <w:spacing w:after="120" w:before="0"/>
        <w:jc w:val="right"/>
      </w:pPr>
      <w:r>
        <w:rPr>
          <w:rFonts w:ascii="Calibri" w:cs="Calibri" w:eastAsia="Calibri" w:hAnsi="Calibri"/>
          <w:b/>
          <w:bCs/>
          <w:i w:val="false"/>
          <w:iCs w:val="false"/>
          <w:color w:val="0F62FE"/>
          <w:sz w:val="18"/>
          <w:szCs w:val="18"/>
        </w:rPr>
        <w:t xml:space="preserve">— IBM Platform Modernization</w:t>
      </w:r>
    </w:p>
    <w:p>
      <w:pPr>
        <w:spacing w:after="80" w:before="200"/>
      </w:pPr>
      <w:r>
        <w:rPr>
          <w:rFonts w:ascii="Calibri" w:cs="Calibri" w:eastAsia="Calibri" w:hAnsi="Calibri"/>
          <w:b/>
          <w:bCs/>
          <w:i w:val="false"/>
          <w:iCs w:val="false"/>
          <w:color w:val="001141"/>
          <w:sz w:val="24"/>
          <w:szCs w:val="24"/>
        </w:rPr>
        <w:t xml:space="preserve">Integration Modernization — Real-Time, Cloud-Native</w:t>
      </w:r>
    </w:p>
    <w:p>
      <w:pPr>
        <w:spacing w:after="100" w:before="0"/>
      </w:pPr>
      <w:r>
        <w:rPr>
          <w:rFonts w:ascii="Calibri" w:cs="Calibri" w:eastAsia="Calibri" w:hAnsi="Calibri"/>
          <w:b w:val="false"/>
          <w:bCs w:val="false"/>
          <w:i w:val="false"/>
          <w:iCs w:val="false"/>
          <w:color w:val="525252"/>
          <w:sz w:val="21"/>
          <w:szCs w:val="21"/>
        </w:rPr>
        <w:t xml:space="preserve">IBM’s Integration Modernization programme transforms Horizon’s data exchange backbone from point-to-point batch processes to a cloud-native, event-driven, real-time integration architecture — enabling claims, eligibility, provider, and member data to flow continuously without overnight lag.</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MOM API-First Hub — Transform Messaging-Oriented Middleware to an API-first enterprise integration hub.</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Event Streaming Architecture — Replace batch ETL with Apache Kafka-based event streaming on AWS MSK.</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API Gateway Consolidation — Unified gateway replacing 70+ point-to-point integrations with governed, observable APIs.</w:t>
      </w:r>
    </w:p>
    <w:p>
      <w:pPr>
        <w:spacing w:after="80" w:before="200"/>
      </w:pPr>
      <w:r>
        <w:rPr>
          <w:rFonts w:ascii="Calibri" w:cs="Calibri" w:eastAsia="Calibri" w:hAnsi="Calibri"/>
          <w:b/>
          <w:bCs/>
          <w:i w:val="false"/>
          <w:iCs w:val="false"/>
          <w:color w:val="001141"/>
          <w:sz w:val="24"/>
          <w:szCs w:val="24"/>
        </w:rPr>
        <w:t xml:space="preserve">Application Rationalization</w:t>
      </w:r>
    </w:p>
    <w:p>
      <w:pPr>
        <w:spacing w:after="100" w:before="0"/>
      </w:pPr>
      <w:r>
        <w:rPr>
          <w:rFonts w:ascii="Calibri" w:cs="Calibri" w:eastAsia="Calibri" w:hAnsi="Calibri"/>
          <w:b w:val="false"/>
          <w:bCs w:val="false"/>
          <w:i w:val="false"/>
          <w:iCs w:val="false"/>
          <w:color w:val="525252"/>
          <w:sz w:val="21"/>
          <w:szCs w:val="21"/>
        </w:rPr>
        <w:t xml:space="preserve">IBM will conduct a structured assessment of Horizon’s ~500+ application portfolio using Texture and IBM accelerators — identifying candidates for decommission, consolidation, cloud migration, or AI-augmented modernization.</w:t>
      </w:r>
    </w:p>
    <w:p>
      <w:pPr>
        <w:spacing w:after="80" w:before="200"/>
      </w:pPr>
      <w:r>
        <w:rPr>
          <w:rFonts w:ascii="Calibri" w:cs="Calibri" w:eastAsia="Calibri" w:hAnsi="Calibri"/>
          <w:b/>
          <w:bCs/>
          <w:i w:val="false"/>
          <w:iCs w:val="false"/>
          <w:color w:val="001141"/>
          <w:sz w:val="24"/>
          <w:szCs w:val="24"/>
        </w:rPr>
        <w:t xml:space="preserve">Mainframe Modernization Roadmap</w:t>
      </w:r>
    </w:p>
    <w:p>
      <w:pPr>
        <w:spacing w:after="100" w:before="0"/>
      </w:pPr>
      <w:r>
        <w:rPr>
          <w:rFonts w:ascii="Calibri" w:cs="Calibri" w:eastAsia="Calibri" w:hAnsi="Calibri"/>
          <w:b w:val="false"/>
          <w:bCs w:val="false"/>
          <w:i w:val="false"/>
          <w:iCs w:val="false"/>
          <w:color w:val="525252"/>
          <w:sz w:val="21"/>
          <w:szCs w:val="21"/>
        </w:rPr>
        <w:t xml:space="preserve">Horizon’s mainframe hosts critical batch processing, eligibility logic, and financial settlement. IBM’s strategy executes phased migration preserving continuity: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2621"/>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Workstream</w:t>
            </w:r>
          </w:p>
        </w:tc>
        <w:tc>
          <w:tcPr>
            <w:tcW w:type="dxa" w:w="4118"/>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Approach</w:t>
            </w:r>
          </w:p>
        </w:tc>
        <w:tc>
          <w:tcPr>
            <w:tcW w:type="dxa" w:w="2621"/>
            <w:tcBorders>
              <w:top w:val="single" w:color="0F62FE" w:sz="14"/>
              <w:left w:val="single" w:color="E0E0E0" w:sz="4"/>
              <w:bottom w:val="single" w:color="E0E0E0" w:sz="6"/>
              <w:right w:val="single" w:color="E0E0E0" w:sz="4"/>
            </w:tcBorders>
            <w:shd w:fill="D0E2FF" w:val="clear"/>
            <w:tcMar>
              <w:top w:type="dxa" w:w="60"/>
              <w:left w:type="dxa" w:w="160"/>
              <w:bottom w:type="dxa" w:w="60"/>
              <w:right w:type="dxa" w:w="160"/>
            </w:tcMar>
            <w:vAlign w:val="center"/>
          </w:tcPr>
          <w:p>
            <w:pPr>
              <w:spacing w:after="60" w:before="60"/>
            </w:pPr>
            <w:r>
              <w:rPr>
                <w:rFonts w:ascii="Calibri" w:cs="Calibri" w:eastAsia="Calibri" w:hAnsi="Calibri"/>
                <w:b/>
                <w:bCs/>
                <w:i w:val="false"/>
                <w:iCs w:val="false"/>
                <w:color w:val="001141"/>
                <w:sz w:val="20"/>
                <w:szCs w:val="20"/>
              </w:rPr>
              <w:t xml:space="preserve">Timeline</w:t>
            </w:r>
          </w:p>
        </w:tc>
      </w:tr>
      <w:tr>
        <w:tc>
          <w:tcPr>
            <w:tcW w:type="dxa" w:w="262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Eligibility Processing</w:t>
            </w:r>
          </w:p>
        </w:tc>
        <w:tc>
          <w:tcPr>
            <w:tcW w:type="dxa" w:w="4118"/>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API-wrap → Cloud rehost</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Q2–Q4 2026</w:t>
            </w:r>
          </w:p>
        </w:tc>
      </w:tr>
      <w:tr>
        <w:tc>
          <w:tcPr>
            <w:tcW w:type="dxa" w:w="262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COBOL → Java Pilot</w:t>
            </w:r>
          </w:p>
        </w:tc>
        <w:tc>
          <w:tcPr>
            <w:tcW w:type="dxa" w:w="4118"/>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AI-assisted code conversion</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Q3 2026</w:t>
            </w:r>
          </w:p>
        </w:tc>
      </w:tr>
      <w:tr>
        <w:tc>
          <w:tcPr>
            <w:tcW w:type="dxa" w:w="262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Unified Payments</w:t>
            </w:r>
          </w:p>
        </w:tc>
        <w:tc>
          <w:tcPr>
            <w:tcW w:type="dxa" w:w="4118"/>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AWS modernization</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Q3 2026</w:t>
            </w:r>
          </w:p>
        </w:tc>
      </w:tr>
      <w:tr>
        <w:tc>
          <w:tcPr>
            <w:tcW w:type="dxa" w:w="2621"/>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Claims Engine</w:t>
            </w:r>
          </w:p>
        </w:tc>
        <w:tc>
          <w:tcPr>
            <w:tcW w:type="dxa" w:w="4118"/>
            <w:tcBorders>
              <w:top w:val="single" w:color="E0E0E0" w:sz="4"/>
              <w:left w:val="single" w:color="E0E0E0" w:sz="4"/>
              <w:bottom w:val="single" w:color="E0E0E0" w:sz="4"/>
              <w:right w:val="single" w:color="E0E0E0" w:sz="4"/>
            </w:tcBorders>
            <w:shd w:fill="F4F4F4"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Parallel-run cutover</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Q1–Q2 2027</w:t>
            </w:r>
          </w:p>
        </w:tc>
      </w:tr>
      <w:tr>
        <w:tc>
          <w:tcPr>
            <w:tcW w:type="dxa" w:w="2621"/>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bCs/>
                <w:i w:val="false"/>
                <w:iCs w:val="false"/>
                <w:color w:val="161616"/>
                <w:sz w:val="20"/>
                <w:szCs w:val="20"/>
              </w:rPr>
              <w:t xml:space="preserve">Member Data Services</w:t>
            </w:r>
          </w:p>
        </w:tc>
        <w:tc>
          <w:tcPr>
            <w:tcW w:type="dxa" w:w="4118"/>
            <w:tcBorders>
              <w:top w:val="single" w:color="E0E0E0" w:sz="4"/>
              <w:left w:val="single" w:color="E0E0E0" w:sz="4"/>
              <w:bottom w:val="single" w:color="E0E0E0" w:sz="4"/>
              <w:right w:val="single" w:color="E0E0E0" w:sz="4"/>
            </w:tcBorders>
            <w:shd w:fill="FFFFFF" w:val="clear"/>
            <w:tcMar>
              <w:top w:type="dxa" w:w="60"/>
              <w:left w:type="dxa" w:w="160"/>
              <w:bottom w:type="dxa" w:w="60"/>
              <w:right w:type="dxa" w:w="160"/>
            </w:tcMar>
            <w:vAlign w:val="center"/>
          </w:tcPr>
          <w:p>
            <w:pPr>
              <w:spacing w:after="40" w:before="40"/>
            </w:pPr>
            <w:r>
              <w:rPr>
                <w:rFonts w:ascii="Calibri" w:cs="Calibri" w:eastAsia="Calibri" w:hAnsi="Calibri"/>
                <w:b w:val="false"/>
                <w:bCs w:val="false"/>
                <w:i w:val="false"/>
                <w:iCs w:val="false"/>
                <w:color w:val="525252"/>
                <w:sz w:val="20"/>
                <w:szCs w:val="20"/>
              </w:rPr>
              <w:t xml:space="preserve">Event-driven migration</w:t>
            </w:r>
          </w:p>
        </w:tc>
        <w:tc>
          <w:tcPr>
            <w:tcW w:type="dxa" w:w="2621"/>
            <w:tcBorders>
              <w:top w:val="single" w:color="E0E0E0" w:sz="4"/>
              <w:left w:val="single" w:color="E0E0E0" w:sz="4"/>
              <w:bottom w:val="single" w:color="E0E0E0" w:sz="4"/>
              <w:right w:val="single" w:color="E0E0E0" w:sz="4"/>
            </w:tcBorders>
            <w:shd w:fill="EBF2FF" w:val="clear"/>
            <w:tcMar>
              <w:top w:type="dxa" w:w="60"/>
              <w:left w:type="dxa" w:w="160"/>
              <w:bottom w:type="dxa" w:w="60"/>
              <w:right w:type="dxa" w:w="160"/>
            </w:tcMar>
            <w:vAlign w:val="center"/>
          </w:tcPr>
          <w:p>
            <w:pPr>
              <w:spacing w:after="40" w:before="40"/>
              <w:jc w:val="center"/>
            </w:pPr>
            <w:r>
              <w:rPr>
                <w:rFonts w:ascii="Calibri" w:cs="Calibri" w:eastAsia="Calibri" w:hAnsi="Calibri"/>
                <w:b/>
                <w:bCs/>
                <w:i w:val="false"/>
                <w:iCs w:val="false"/>
                <w:color w:val="0F62FE"/>
                <w:sz w:val="20"/>
                <w:szCs w:val="20"/>
              </w:rPr>
              <w:t xml:space="preserve">Q4 2026+</w:t>
            </w:r>
          </w:p>
        </w:tc>
      </w:tr>
    </w:tbl>
    <w:p>
      <w:pPr>
        <w:spacing w:after="80" w:before="200"/>
      </w:pPr>
      <w:r>
        <w:rPr>
          <w:rFonts w:ascii="Calibri" w:cs="Calibri" w:eastAsia="Calibri" w:hAnsi="Calibri"/>
          <w:b/>
          <w:bCs/>
          <w:i w:val="false"/>
          <w:iCs w:val="false"/>
          <w:color w:val="001141"/>
          <w:sz w:val="24"/>
          <w:szCs w:val="24"/>
        </w:rPr>
        <w:t xml:space="preserve">Technical Debt Governance — n−1/n−2 Version Standard</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IBM commits to maintaining all Horizon stacks at n−1 (one version behind latest LTS) — balancing security currency with stability.</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Quarterly version review cadence: IBM + Horizon ARB jointly assess all frameworks, runtimes, and vendor platforms.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n−1 compliance report delivered monthly to Horizon CTO: stacks at EOL risk, CVE exposure, and upgrade progress.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Priority-1 CVEs receive emergency patch within 72 hours regardless of n−1 cadence.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2026 Year 1: 25 platform upgrades in flight (Angular 17, .NET 8, ODM 9.2, SAP BO 4.3).</w:t>
      </w:r>
    </w:p>
    <w:p>
      <w:pPr>
        <w:spacing w:after="160" w:before="0"/>
      </w:pPr>
      <w:r>
        <w:rPr>
          <w:rFonts w:ascii="Calibri" w:cs="Calibri" w:eastAsia="Calibri" w:hAnsi="Calibri"/>
          <w:sz w:val="12"/>
          <w:szCs w:val="12"/>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F62FE"/>
                <w:sz w:val="56"/>
                <w:szCs w:val="56"/>
              </w:rPr>
              <w:t xml:space="preserve">500+</w:t>
            </w:r>
          </w:p>
          <w:p>
            <w:pPr>
              <w:spacing w:after="160" w:before="0"/>
              <w:jc w:val="center"/>
            </w:pPr>
            <w:r>
              <w:rPr>
                <w:rFonts w:ascii="Calibri" w:cs="Calibri" w:eastAsia="Calibri" w:hAnsi="Calibri"/>
                <w:b/>
                <w:bCs/>
                <w:i w:val="false"/>
                <w:iCs w:val="false"/>
                <w:color w:val="001141"/>
                <w:sz w:val="19"/>
                <w:szCs w:val="19"/>
              </w:rPr>
              <w:t xml:space="preserve">Applications Assessed</w:t>
            </w:r>
          </w:p>
        </w:tc>
        <w:tc>
          <w:tcPr>
            <w:tcW w:type="dxa" w:w="2340"/>
            <w:tcBorders>
              <w:top w:val="single" w:color="0043C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43CE"/>
                <w:sz w:val="56"/>
                <w:szCs w:val="56"/>
              </w:rPr>
              <w:t xml:space="preserve">COBOL→Java</w:t>
            </w:r>
          </w:p>
          <w:p>
            <w:pPr>
              <w:spacing w:after="160" w:before="0"/>
              <w:jc w:val="center"/>
            </w:pPr>
            <w:r>
              <w:rPr>
                <w:rFonts w:ascii="Calibri" w:cs="Calibri" w:eastAsia="Calibri" w:hAnsi="Calibri"/>
                <w:b/>
                <w:bCs/>
                <w:i w:val="false"/>
                <w:iCs w:val="false"/>
                <w:color w:val="001141"/>
                <w:sz w:val="19"/>
                <w:szCs w:val="19"/>
              </w:rPr>
              <w:t xml:space="preserve">AI-Assisted Conversion</w:t>
            </w:r>
          </w:p>
        </w:tc>
        <w:tc>
          <w:tcPr>
            <w:tcW w:type="dxa" w:w="2340"/>
            <w:tcBorders>
              <w:top w:val="single" w:color="007D79"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7D79"/>
                <w:sz w:val="56"/>
                <w:szCs w:val="56"/>
              </w:rPr>
              <w:t xml:space="preserve">n−1/2</w:t>
            </w:r>
          </w:p>
          <w:p>
            <w:pPr>
              <w:spacing w:after="160" w:before="0"/>
              <w:jc w:val="center"/>
            </w:pPr>
            <w:r>
              <w:rPr>
                <w:rFonts w:ascii="Calibri" w:cs="Calibri" w:eastAsia="Calibri" w:hAnsi="Calibri"/>
                <w:b/>
                <w:bCs/>
                <w:i w:val="false"/>
                <w:iCs w:val="false"/>
                <w:color w:val="001141"/>
                <w:sz w:val="19"/>
                <w:szCs w:val="19"/>
              </w:rPr>
              <w:t xml:space="preserve">Stack Version Governance</w:t>
            </w:r>
          </w:p>
        </w:tc>
        <w:tc>
          <w:tcPr>
            <w:tcW w:type="dxa" w:w="2340"/>
            <w:tcBorders>
              <w:top w:val="single" w:color="6929C4"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6929C4"/>
                <w:sz w:val="56"/>
                <w:szCs w:val="56"/>
              </w:rPr>
              <w:t xml:space="preserve">Zero</w:t>
            </w:r>
          </w:p>
          <w:p>
            <w:pPr>
              <w:spacing w:after="160" w:before="0"/>
              <w:jc w:val="center"/>
            </w:pPr>
            <w:r>
              <w:rPr>
                <w:rFonts w:ascii="Calibri" w:cs="Calibri" w:eastAsia="Calibri" w:hAnsi="Calibri"/>
                <w:b/>
                <w:bCs/>
                <w:i w:val="false"/>
                <w:iCs w:val="false"/>
                <w:color w:val="001141"/>
                <w:sz w:val="19"/>
                <w:szCs w:val="19"/>
              </w:rPr>
              <w:t xml:space="preserve">Disruption Commitment</w:t>
            </w:r>
          </w:p>
        </w:tc>
      </w:tr>
    </w:tbl>
    <w:p>
      <w:pPr>
        <w:pageBreakBefore/>
        <w:pBdr>
          <w:top w:val="single" w:color="0F62FE" w:sz="20" w:space="10"/>
        </w:pBdr>
        <w:spacing w:after="80" w:before="0"/>
      </w:pPr>
    </w:p>
    <w:p>
      <w:pPr>
        <w:spacing w:after="60" w:before="0"/>
      </w:pPr>
      <w:r>
        <w:rPr>
          <w:rFonts w:ascii="Calibri" w:cs="Calibri" w:eastAsia="Calibri" w:hAnsi="Calibri"/>
          <w:b/>
          <w:bCs/>
          <w:i w:val="false"/>
          <w:iCs w:val="false"/>
          <w:color w:val="0F62FE"/>
          <w:sz w:val="19"/>
          <w:szCs w:val="19"/>
        </w:rPr>
        <w:t xml:space="preserve">10  </w:t>
      </w:r>
      <w:r>
        <w:rPr>
          <w:rFonts w:ascii="Calibri" w:cs="Calibri" w:eastAsia="Calibri" w:hAnsi="Calibri"/>
          <w:b/>
          <w:bCs/>
          <w:i w:val="false"/>
          <w:iCs w:val="false"/>
          <w:color w:val="001141"/>
          <w:sz w:val="36"/>
          <w:szCs w:val="36"/>
        </w:rPr>
        <w:t xml:space="preserve">Why IBM — and Why Now</w:t>
      </w:r>
    </w:p>
    <w:p>
      <w:pPr>
        <w:spacing w:after="160" w:before="0"/>
      </w:pPr>
      <w:r>
        <w:rPr>
          <w:rFonts w:ascii="Calibri" w:cs="Calibri" w:eastAsia="Calibri" w:hAnsi="Calibri"/>
          <w:b w:val="false"/>
          <w:bCs w:val="false"/>
          <w:i/>
          <w:iCs/>
          <w:color w:val="8D8D8D"/>
          <w:sz w:val="20"/>
          <w:szCs w:val="20"/>
        </w:rPr>
        <w:t xml:space="preserve">Scale, Depth, Skin in the Game &amp; Next Steps</w:t>
      </w:r>
    </w:p>
    <w:p>
      <w:pPr>
        <w:spacing w:after="80" w:before="0"/>
      </w:pPr>
      <w:r>
        <w:rPr>
          <w:rFonts w:ascii="Calibri" w:cs="Calibri" w:eastAsia="Calibri" w:hAnsi="Calibri"/>
          <w:sz w:val="12"/>
          <w:szCs w:val="12"/>
        </w:rPr>
        <w:t xml:space="preserve"/>
      </w:r>
    </w:p>
    <w:p>
      <w:pPr>
        <w:pBdr>
          <w:left w:val="single" w:color="0F62FE" w:sz="20" w:space="12"/>
        </w:pBdr>
        <w:spacing w:after="40" w:before="60"/>
        <w:ind w:left="576"/>
      </w:pPr>
      <w:r>
        <w:rPr>
          <w:rFonts w:ascii="Calibri" w:cs="Calibri" w:eastAsia="Calibri" w:hAnsi="Calibri"/>
          <w:b w:val="false"/>
          <w:bCs w:val="false"/>
          <w:i/>
          <w:iCs/>
          <w:color w:val="001141"/>
          <w:sz w:val="23"/>
          <w:szCs w:val="23"/>
        </w:rPr>
        <w:t xml:space="preserve">“IBM’s ultimate accountability is not to a contract — it is to the 3.7 million members who rely on Horizon’s systems every day. The patient waiting for a prior auth. The provider navigating a claims dispute. The family enrolling for the first time. Those are IBM’s stakeholders.”</w:t>
      </w:r>
    </w:p>
    <w:p>
      <w:pPr>
        <w:spacing w:after="120" w:before="0"/>
        <w:jc w:val="right"/>
      </w:pPr>
      <w:r>
        <w:rPr>
          <w:rFonts w:ascii="Calibri" w:cs="Calibri" w:eastAsia="Calibri" w:hAnsi="Calibri"/>
          <w:b/>
          <w:bCs/>
          <w:i w:val="false"/>
          <w:iCs w:val="false"/>
          <w:color w:val="0F62FE"/>
          <w:sz w:val="18"/>
          <w:szCs w:val="18"/>
        </w:rPr>
        <w:t xml:space="preserve">— IBM Consulting, Healthcare &amp; Payer Delivery</w:t>
      </w:r>
    </w:p>
    <w:p>
      <w:pPr>
        <w:spacing w:after="80" w:before="200"/>
      </w:pPr>
      <w:r>
        <w:rPr>
          <w:rFonts w:ascii="Calibri" w:cs="Calibri" w:eastAsia="Calibri" w:hAnsi="Calibri"/>
          <w:b/>
          <w:bCs/>
          <w:i w:val="false"/>
          <w:iCs w:val="false"/>
          <w:color w:val="001141"/>
          <w:sz w:val="24"/>
          <w:szCs w:val="24"/>
        </w:rPr>
        <w:t xml:space="preserve">What Differentiates IBM</w:t>
      </w:r>
    </w:p>
    <w:p>
      <w:pPr>
        <w:spacing w:after="40" w:before="120"/>
      </w:pPr>
      <w:r>
        <w:rPr>
          <w:rFonts w:ascii="Calibri" w:cs="Calibri" w:eastAsia="Calibri" w:hAnsi="Calibri"/>
          <w:b/>
          <w:bCs/>
          <w:i w:val="false"/>
          <w:iCs w:val="false"/>
          <w:color w:val="0F62FE"/>
          <w:sz w:val="21"/>
          <w:szCs w:val="21"/>
        </w:rPr>
        <w:t xml:space="preserve">Skin in the Game</w:t>
      </w:r>
    </w:p>
    <w:p>
      <w:pPr>
        <w:spacing w:after="100" w:before="0"/>
      </w:pPr>
      <w:r>
        <w:rPr>
          <w:rFonts w:ascii="Calibri" w:cs="Calibri" w:eastAsia="Calibri" w:hAnsi="Calibri"/>
          <w:b w:val="false"/>
          <w:bCs w:val="false"/>
          <w:i w:val="false"/>
          <w:iCs w:val="false"/>
          <w:color w:val="525252"/>
          <w:sz w:val="21"/>
          <w:szCs w:val="21"/>
        </w:rPr>
        <w:t xml:space="preserve">Outcome-based engagement with IBM’s full capability depth behind every phase — IBM’s success is tied directly to Horizon’s outcomes. Not activity metrics. Business results.</w:t>
      </w:r>
    </w:p>
    <w:p>
      <w:pPr>
        <w:spacing w:after="40" w:before="120"/>
      </w:pPr>
      <w:r>
        <w:rPr>
          <w:rFonts w:ascii="Calibri" w:cs="Calibri" w:eastAsia="Calibri" w:hAnsi="Calibri"/>
          <w:b/>
          <w:bCs/>
          <w:i w:val="false"/>
          <w:iCs w:val="false"/>
          <w:color w:val="0F62FE"/>
          <w:sz w:val="21"/>
          <w:szCs w:val="21"/>
        </w:rPr>
        <w:t xml:space="preserve">AI at Depth, Not at Surface</w:t>
      </w:r>
    </w:p>
    <w:p>
      <w:pPr>
        <w:spacing w:after="100" w:before="0"/>
      </w:pPr>
      <w:r>
        <w:rPr>
          <w:rFonts w:ascii="Calibri" w:cs="Calibri" w:eastAsia="Calibri" w:hAnsi="Calibri"/>
          <w:b w:val="false"/>
          <w:bCs w:val="false"/>
          <w:i w:val="false"/>
          <w:iCs w:val="false"/>
          <w:color w:val="525252"/>
          <w:sz w:val="21"/>
          <w:szCs w:val="21"/>
        </w:rPr>
        <w:t xml:space="preserve">IBM’s Agentic AI, Generative AI, and AIOps capabilities are production-proven across healthcare and financial services — not proof-of-concept. Live at comparable payers today.</w:t>
      </w:r>
    </w:p>
    <w:p>
      <w:pPr>
        <w:spacing w:after="40" w:before="120"/>
      </w:pPr>
      <w:r>
        <w:rPr>
          <w:rFonts w:ascii="Calibri" w:cs="Calibri" w:eastAsia="Calibri" w:hAnsi="Calibri"/>
          <w:b/>
          <w:bCs/>
          <w:i w:val="false"/>
          <w:iCs w:val="false"/>
          <w:color w:val="0F62FE"/>
          <w:sz w:val="21"/>
          <w:szCs w:val="21"/>
        </w:rPr>
        <w:t xml:space="preserve">IBM Consulting Advantage</w:t>
      </w:r>
    </w:p>
    <w:p>
      <w:pPr>
        <w:spacing w:after="100" w:before="0"/>
      </w:pPr>
      <w:r>
        <w:rPr>
          <w:rFonts w:ascii="Calibri" w:cs="Calibri" w:eastAsia="Calibri" w:hAnsi="Calibri"/>
          <w:b w:val="false"/>
          <w:bCs w:val="false"/>
          <w:i w:val="false"/>
          <w:iCs w:val="false"/>
          <w:color w:val="525252"/>
          <w:sz w:val="21"/>
          <w:szCs w:val="21"/>
        </w:rPr>
        <w:t xml:space="preserve">Horizon realises accelerated value through IBM Consulting’s portfolio of 6,500+ assets and accelerators, strategic initiatives including IBM Build on Bedrock (BOB).</w:t>
      </w:r>
    </w:p>
    <w:p>
      <w:pPr>
        <w:spacing w:after="40" w:before="120"/>
      </w:pPr>
      <w:r>
        <w:rPr>
          <w:rFonts w:ascii="Calibri" w:cs="Calibri" w:eastAsia="Calibri" w:hAnsi="Calibri"/>
          <w:b/>
          <w:bCs/>
          <w:i w:val="false"/>
          <w:iCs w:val="false"/>
          <w:color w:val="0F62FE"/>
          <w:sz w:val="21"/>
          <w:szCs w:val="21"/>
        </w:rPr>
        <w:t xml:space="preserve">Transformation Office</w:t>
      </w:r>
    </w:p>
    <w:p>
      <w:pPr>
        <w:spacing w:after="100" w:before="0"/>
      </w:pPr>
      <w:r>
        <w:rPr>
          <w:rFonts w:ascii="Calibri" w:cs="Calibri" w:eastAsia="Calibri" w:hAnsi="Calibri"/>
          <w:b w:val="false"/>
          <w:bCs w:val="false"/>
          <w:i w:val="false"/>
          <w:iCs w:val="false"/>
          <w:color w:val="525252"/>
          <w:sz w:val="21"/>
          <w:szCs w:val="21"/>
        </w:rPr>
        <w:t xml:space="preserve">IBM commits a structured quarterly innovation process — governed, prioritized, business-case-backed innovation at Horizon’s direction. Not a roadmap slide. A working programme.</w:t>
      </w:r>
    </w:p>
    <w:p>
      <w:pPr>
        <w:spacing w:after="80" w:before="0"/>
      </w:pPr>
      <w:r>
        <w:rPr>
          <w:rFonts w:ascii="Calibri" w:cs="Calibri" w:eastAsia="Calibri" w:hAnsi="Calibri"/>
          <w:sz w:val="12"/>
          <w:szCs w:val="12"/>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F62FE"/>
                <w:sz w:val="56"/>
                <w:szCs w:val="56"/>
              </w:rPr>
              <w:t xml:space="preserve">20K+</w:t>
            </w:r>
          </w:p>
          <w:p>
            <w:pPr>
              <w:spacing w:after="160" w:before="0"/>
              <w:jc w:val="center"/>
            </w:pPr>
            <w:r>
              <w:rPr>
                <w:rFonts w:ascii="Calibri" w:cs="Calibri" w:eastAsia="Calibri" w:hAnsi="Calibri"/>
                <w:b/>
                <w:bCs/>
                <w:i w:val="false"/>
                <w:iCs w:val="false"/>
                <w:color w:val="001141"/>
                <w:sz w:val="19"/>
                <w:szCs w:val="19"/>
              </w:rPr>
              <w:t xml:space="preserve">AI Practitioners</w:t>
            </w:r>
          </w:p>
        </w:tc>
        <w:tc>
          <w:tcPr>
            <w:tcW w:type="dxa" w:w="2340"/>
            <w:tcBorders>
              <w:top w:val="single" w:color="0043CE"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43CE"/>
                <w:sz w:val="56"/>
                <w:szCs w:val="56"/>
              </w:rPr>
              <w:t xml:space="preserve">81K+</w:t>
            </w:r>
          </w:p>
          <w:p>
            <w:pPr>
              <w:spacing w:after="160" w:before="0"/>
              <w:jc w:val="center"/>
            </w:pPr>
            <w:r>
              <w:rPr>
                <w:rFonts w:ascii="Calibri" w:cs="Calibri" w:eastAsia="Calibri" w:hAnsi="Calibri"/>
                <w:b/>
                <w:bCs/>
                <w:i w:val="false"/>
                <w:iCs w:val="false"/>
                <w:color w:val="001141"/>
                <w:sz w:val="19"/>
                <w:szCs w:val="19"/>
              </w:rPr>
              <w:t xml:space="preserve">Cloud Experts</w:t>
            </w:r>
          </w:p>
        </w:tc>
        <w:tc>
          <w:tcPr>
            <w:tcW w:type="dxa" w:w="2340"/>
            <w:tcBorders>
              <w:top w:val="single" w:color="007D79"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007D79"/>
                <w:sz w:val="56"/>
                <w:szCs w:val="56"/>
              </w:rPr>
              <w:t xml:space="preserve">40K+</w:t>
            </w:r>
          </w:p>
          <w:p>
            <w:pPr>
              <w:spacing w:after="160" w:before="0"/>
              <w:jc w:val="center"/>
            </w:pPr>
            <w:r>
              <w:rPr>
                <w:rFonts w:ascii="Calibri" w:cs="Calibri" w:eastAsia="Calibri" w:hAnsi="Calibri"/>
                <w:b/>
                <w:bCs/>
                <w:i w:val="false"/>
                <w:iCs w:val="false"/>
                <w:color w:val="001141"/>
                <w:sz w:val="19"/>
                <w:szCs w:val="19"/>
              </w:rPr>
              <w:t xml:space="preserve">AI Engagements</w:t>
            </w:r>
          </w:p>
        </w:tc>
        <w:tc>
          <w:tcPr>
            <w:tcW w:type="dxa" w:w="2340"/>
            <w:tcBorders>
              <w:top w:val="single" w:color="6929C4" w:sz="12"/>
              <w:left w:val="single" w:color="E0E0E0" w:sz="4"/>
              <w:bottom w:val="single" w:color="E0E0E0" w:sz="4"/>
              <w:right w:val="single" w:color="E0E0E0" w:sz="4"/>
            </w:tcBorders>
            <w:shd w:fill="EBF2FF" w:val="clear"/>
            <w:tcMar>
              <w:top w:type="dxa" w:w="80"/>
              <w:left w:type="dxa" w:w="120"/>
              <w:bottom w:type="dxa" w:w="80"/>
              <w:right w:type="dxa" w:w="120"/>
            </w:tcMar>
            <w:vAlign w:val="center"/>
          </w:tcPr>
          <w:p>
            <w:pPr>
              <w:spacing w:after="60" w:before="160"/>
              <w:jc w:val="center"/>
            </w:pPr>
            <w:r>
              <w:rPr>
                <w:rFonts w:ascii="Calibri" w:cs="Calibri" w:eastAsia="Calibri" w:hAnsi="Calibri"/>
                <w:b/>
                <w:bCs/>
                <w:i w:val="false"/>
                <w:iCs w:val="false"/>
                <w:color w:val="6929C4"/>
                <w:sz w:val="56"/>
                <w:szCs w:val="56"/>
              </w:rPr>
              <w:t xml:space="preserve">15K+</w:t>
            </w:r>
          </w:p>
          <w:p>
            <w:pPr>
              <w:spacing w:after="160" w:before="0"/>
              <w:jc w:val="center"/>
            </w:pPr>
            <w:r>
              <w:rPr>
                <w:rFonts w:ascii="Calibri" w:cs="Calibri" w:eastAsia="Calibri" w:hAnsi="Calibri"/>
                <w:b/>
                <w:bCs/>
                <w:i w:val="false"/>
                <w:iCs w:val="false"/>
                <w:color w:val="001141"/>
                <w:sz w:val="19"/>
                <w:szCs w:val="19"/>
              </w:rPr>
              <w:t xml:space="preserve">Global Delivery Centers</w:t>
            </w:r>
          </w:p>
        </w:tc>
      </w:tr>
    </w:tbl>
    <w:p>
      <w:pPr>
        <w:spacing w:after="12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Healthcare Payer Pedigree</w:t>
      </w:r>
    </w:p>
    <w:p>
      <w:pPr>
        <w:spacing w:after="100" w:before="0"/>
      </w:pPr>
      <w:r>
        <w:rPr>
          <w:rFonts w:ascii="Calibri" w:cs="Calibri" w:eastAsia="Calibri" w:hAnsi="Calibri"/>
          <w:b w:val="false"/>
          <w:bCs w:val="false"/>
          <w:i w:val="false"/>
          <w:iCs w:val="false"/>
          <w:color w:val="525252"/>
          <w:sz w:val="21"/>
          <w:szCs w:val="21"/>
        </w:rPr>
        <w:t xml:space="preserve">IBM brings deep healthcare payer expertise — including BCBS operating models, CMS regulatory compliance, HIPAA data governance, enrollment lifecycle management, and claims adjudication platform knowledge — directly into Horizon’s delivery team from Day 1.</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AWS Partner of the Year 2025 — Enterprise AI delivery.</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Leader in Enterprise Software Quality &amp; Testing.</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Proven BCBS engagement track record.</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Gartner Leader across 7 Data and AI Magic Quadrants (2025–2026).</w:t>
      </w:r>
    </w:p>
    <w:p>
      <w:pPr>
        <w:spacing w:after="120" w:before="0"/>
      </w:pPr>
      <w:r>
        <w:rPr>
          <w:rFonts w:ascii="Calibri" w:cs="Calibri" w:eastAsia="Calibri" w:hAnsi="Calibri"/>
          <w:sz w:val="12"/>
          <w:szCs w:val="12"/>
        </w:rPr>
        <w:t xml:space="preserve"/>
      </w:r>
    </w:p>
    <w:p>
      <w:pPr>
        <w:spacing w:after="80" w:before="200"/>
      </w:pPr>
      <w:r>
        <w:rPr>
          <w:rFonts w:ascii="Calibri" w:cs="Calibri" w:eastAsia="Calibri" w:hAnsi="Calibri"/>
          <w:b/>
          <w:bCs/>
          <w:i w:val="false"/>
          <w:iCs w:val="false"/>
          <w:color w:val="001141"/>
          <w:sz w:val="24"/>
          <w:szCs w:val="24"/>
        </w:rPr>
        <w:t xml:space="preserve">Recommended Next Steps</w:t>
      </w:r>
    </w:p>
    <w:p>
      <w:pPr>
        <w:spacing w:after="120" w:before="0"/>
      </w:pPr>
      <w:r>
        <w:rPr>
          <w:rFonts w:ascii="Calibri" w:cs="Calibri" w:eastAsia="Calibri" w:hAnsi="Calibri"/>
          <w:b w:val="false"/>
          <w:bCs w:val="false"/>
          <w:i w:val="false"/>
          <w:iCs w:val="false"/>
          <w:color w:val="001141"/>
          <w:sz w:val="21"/>
          <w:szCs w:val="21"/>
        </w:rPr>
        <w:t xml:space="preserve">From Proposal to Partnership — IBM’s Proposed Engagement Path:</w:t>
      </w:r>
    </w:p>
    <w:p>
      <w:pPr>
        <w:spacing w:after="40" w:before="120"/>
      </w:pPr>
      <w:r>
        <w:rPr>
          <w:rFonts w:ascii="Calibri" w:cs="Calibri" w:eastAsia="Calibri" w:hAnsi="Calibri"/>
          <w:b/>
          <w:bCs/>
          <w:i w:val="false"/>
          <w:iCs w:val="false"/>
          <w:color w:val="0F62FE"/>
          <w:sz w:val="21"/>
          <w:szCs w:val="21"/>
        </w:rPr>
        <w:t xml:space="preserve">Immediate Actions (2–4 Weeks)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Schedule Executive Alignment Session — IBM VP + Horizon CIO/COO to confirm transformation vision and scope.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Conduct CareOps360 Command Center Walkthrough — live demo with Horizon’s operational and technology leadership.</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Initiate Contract Finalization — confirm outcome-based SLA schedule and investment model.</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Begin Phase 0 Foundation Assessment — IBM AMS team on-site for application portfolio and AIOps baseline.</w:t>
      </w:r>
    </w:p>
    <w:p>
      <w:pPr>
        <w:spacing w:after="40" w:before="120"/>
      </w:pPr>
      <w:r>
        <w:rPr>
          <w:rFonts w:ascii="Calibri" w:cs="Calibri" w:eastAsia="Calibri" w:hAnsi="Calibri"/>
          <w:b/>
          <w:bCs/>
          <w:i w:val="false"/>
          <w:iCs w:val="false"/>
          <w:color w:val="0F62FE"/>
          <w:sz w:val="21"/>
          <w:szCs w:val="21"/>
        </w:rPr>
        <w:t xml:space="preserve">Phase 0 Commitments (Weeks 1–12)</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Weeks 1–2: IBM transition team mobilized; AIOps instrumentation begins across priority applications.</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Weeks 3–4: Architecture definition workshop; KPI alignment roadmap delivered.</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Weeks 5–6: Phase 1 Ignite plan presented to Steering Committee.</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Weeks 7–8: Transformation Office inaugural session — first idea pipeline scoped.</w:t>
      </w:r>
    </w:p>
    <w:p>
      <w:pPr>
        <w:pStyle w:val="ListParagraph"/>
        <w:numPr>
          <w:ilvl w:val="0"/>
          <w:numId w:val="1"/>
        </w:numPr>
        <w:spacing w:after="60" w:before="20"/>
      </w:pPr>
      <w:r>
        <w:rPr>
          <w:rFonts w:ascii="Calibri" w:cs="Calibri" w:eastAsia="Calibri" w:hAnsi="Calibri"/>
          <w:b w:val="false"/>
          <w:bCs w:val="false"/>
          <w:i w:val="false"/>
          <w:iCs w:val="false"/>
          <w:color w:val="525252"/>
          <w:sz w:val="21"/>
          <w:szCs w:val="21"/>
        </w:rPr>
        <w:t xml:space="preserve">Weeks 8–12: AIOps platform live on production.</w:t>
      </w:r>
    </w:p>
    <w:p>
      <w:pPr>
        <w:spacing w:after="80" w:before="0"/>
      </w:pPr>
      <w:r>
        <w:rPr>
          <w:rFonts w:ascii="Calibri" w:cs="Calibri" w:eastAsia="Calibri" w:hAnsi="Calibri"/>
          <w:sz w:val="12"/>
          <w:szCs w:val="12"/>
        </w:rPr>
        <w:t xml:space="preserve"/>
      </w:r>
    </w:p>
    <w:p>
      <w:pPr>
        <w:shd w:fill="EBF2FF" w:val="clear"/>
        <w:spacing w:after="120" w:before="120"/>
        <w:ind w:left="360" w:right="360"/>
      </w:pPr>
      <w:r>
        <w:rPr>
          <w:rFonts w:ascii="Calibri" w:cs="Calibri" w:eastAsia="Calibri" w:hAnsi="Calibri"/>
          <w:b/>
          <w:bCs/>
          <w:i w:val="false"/>
          <w:iCs w:val="false"/>
          <w:color w:val="001141"/>
          <w:sz w:val="21"/>
          <w:szCs w:val="21"/>
        </w:rPr>
        <w:t xml:space="preserve">IBM is ready to begin. With Horizon’s confirmation, Phase 0 can mobilize within 5 business days.</w:t>
      </w:r>
    </w:p>
    <w:p>
      <w:pPr>
        <w:spacing w:after="200" w:before="0"/>
      </w:pPr>
      <w:r>
        <w:rPr>
          <w:rFonts w:ascii="Calibri" w:cs="Calibri" w:eastAsia="Calibri" w:hAnsi="Calibri"/>
          <w:sz w:val="12"/>
          <w:szCs w:val="12"/>
        </w:rPr>
        <w:t xml:space="preserve"/>
      </w:r>
    </w:p>
    <w:p>
      <w:pPr>
        <w:pBdr>
          <w:bottom w:val="single" w:color="0F62FE" w:sz="8"/>
        </w:pBdr>
        <w:spacing w:after="160" w:before="100"/>
      </w:pPr>
    </w:p>
    <w:p>
      <w:pPr>
        <w:spacing w:after="80" w:before="80"/>
      </w:pPr>
      <w:r>
        <w:rPr>
          <w:rFonts w:ascii="Calibri" w:cs="Calibri" w:eastAsia="Calibri" w:hAnsi="Calibri"/>
          <w:b w:val="false"/>
          <w:bCs w:val="false"/>
          <w:i/>
          <w:iCs/>
          <w:color w:val="525252"/>
          <w:sz w:val="23"/>
          <w:szCs w:val="23"/>
        </w:rPr>
        <w:t xml:space="preserve">“The measure of a great payer isn’t uptime percentages or ticket counts. It is the member who never has to think about their insurance because </w:t>
      </w:r>
      <w:r>
        <w:rPr>
          <w:rFonts w:ascii="Calibri" w:cs="Calibri" w:eastAsia="Calibri" w:hAnsi="Calibri"/>
          <w:b/>
          <w:bCs/>
          <w:i/>
          <w:iCs/>
          <w:color w:val="001141"/>
          <w:sz w:val="23"/>
          <w:szCs w:val="23"/>
        </w:rPr>
        <w:t xml:space="preserve">everything just works.</w:t>
      </w:r>
      <w:r>
        <w:rPr>
          <w:rFonts w:ascii="Calibri" w:cs="Calibri" w:eastAsia="Calibri" w:hAnsi="Calibri"/>
          <w:b w:val="false"/>
          <w:bCs w:val="false"/>
          <w:i/>
          <w:iCs/>
          <w:color w:val="525252"/>
          <w:sz w:val="23"/>
          <w:szCs w:val="23"/>
        </w:rPr>
        <w:t xml:space="preserve"> That is what IBM is here to build.”</w:t>
      </w:r>
    </w:p>
    <w:p>
      <w:pPr>
        <w:spacing w:after="80" w:before="120"/>
        <w:jc w:val="center"/>
      </w:pPr>
      <w:r>
        <w:rPr>
          <w:rFonts w:ascii="Calibri" w:cs="Calibri" w:eastAsia="Calibri" w:hAnsi="Calibri"/>
          <w:b/>
          <w:bCs/>
          <w:i w:val="false"/>
          <w:iCs w:val="false"/>
          <w:color w:val="001141"/>
          <w:sz w:val="24"/>
          <w:szCs w:val="24"/>
        </w:rPr>
        <w:t xml:space="preserve">A Strategic Partnership for Enterprise Transformation</w:t>
      </w:r>
    </w:p>
    <w:p>
      <w:pPr>
        <w:spacing w:after="160" w:before="0"/>
        <w:jc w:val="center"/>
      </w:pPr>
      <w:r>
        <w:rPr>
          <w:rFonts w:ascii="Calibri" w:cs="Calibri" w:eastAsia="Calibri" w:hAnsi="Calibri"/>
          <w:b w:val="false"/>
          <w:bCs w:val="false"/>
          <w:i/>
          <w:iCs/>
          <w:color w:val="525252"/>
          <w:sz w:val="21"/>
          <w:szCs w:val="21"/>
        </w:rPr>
        <w:t xml:space="preserve">IBM is committed to Horizon’s success — not as a vendor, but as a transformation partner with shared stakes in every outcome.</w:t>
      </w:r>
    </w:p>
    <w:p>
      <w:pPr>
        <w:pBdr>
          <w:top w:val="single" w:color="E0E0E0" w:sz="2"/>
        </w:pBdr>
        <w:spacing w:after="80" w:before="100"/>
      </w:pPr>
    </w:p>
    <w:p>
      <w:pPr>
        <w:spacing w:after="0" w:before="0"/>
        <w:jc w:val="center"/>
      </w:pPr>
      <w:r>
        <w:rPr>
          <w:rFonts w:ascii="Calibri" w:cs="Calibri" w:eastAsia="Calibri" w:hAnsi="Calibri"/>
          <w:b w:val="false"/>
          <w:bCs w:val="false"/>
          <w:i w:val="false"/>
          <w:iCs w:val="false"/>
          <w:color w:val="8D8D8D"/>
          <w:sz w:val="16"/>
          <w:szCs w:val="16"/>
        </w:rPr>
        <w:t xml:space="preserve">© 2026 IBM Corporation  ·  IBM-HZN-AMS-RFP-2026-CAS  ·  Confidential — Executive Use Only  ·  All figures based on IBM programme data and industry benchmarks.</w:t>
      </w:r>
    </w:p>
    <w:sectPr>
      <w:headerReference w:type="default" r:id="rId7"/>
      <w:footerReference w:type="default" r:id="rId8"/>
      <w:pgSz w:w="11906" w:h="16838" w:orient="portrait"/>
      <w:pgMar w:top="1224"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4"/>
      </w:pBdr>
      <w:spacing w:after="0" w:before="60"/>
    </w:pPr>
    <w:r>
      <w:rPr>
        <w:rFonts w:ascii="Calibri" w:cs="Calibri" w:eastAsia="Calibri" w:hAnsi="Calibri"/>
        <w:b w:val="false"/>
        <w:bCs w:val="false"/>
        <w:i w:val="false"/>
        <w:iCs w:val="false"/>
        <w:color w:val="0F62FE"/>
        <w:sz w:val="15"/>
        <w:szCs w:val="15"/>
      </w:rPr>
      <w:t xml:space="preserve">CareOps360  ·  IBM AIOps  ·  IBM Consulting Advantage  ·  April 2026  —  </w:t>
    </w:r>
    <w:r>
      <w:rPr>
        <w:rFonts w:ascii="Calibri" w:cs="Calibri" w:eastAsia="Calibri" w:hAnsi="Calibri"/>
        <w:color w:val="8D8D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6"/>
      </w:pBdr>
      <w:spacing w:after="0"/>
      <w:jc w:val="right"/>
    </w:pPr>
    <w:r>
      <w:rPr>
        <w:rFonts w:ascii="Calibri" w:cs="Calibri" w:eastAsia="Calibri" w:hAnsi="Calibri"/>
        <w:b/>
        <w:bCs/>
        <w:i w:val="false"/>
        <w:iCs w:val="false"/>
        <w:color w:val="8D8D8D"/>
        <w:sz w:val="15"/>
        <w:szCs w:val="15"/>
      </w:rPr>
      <w:t xml:space="preserve">IBM × HORIZON BCBS  —  APPLICATION DEVELOPMENT, MAINTENANCE &amp; QUALITY ENGINEERING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Application Development, Maintenance &amp; Quality Engineering</dc:title>
  <dc:creator>IBM Consulting — Healthcare &amp; Payer Delivery</dc:creator>
  <cp:lastModifiedBy>Un-named</cp:lastModifiedBy>
  <cp:revision>1</cp:revision>
  <dcterms:created xsi:type="dcterms:W3CDTF">2026-04-16T05:19:24.354Z</dcterms:created>
  <dcterms:modified xsi:type="dcterms:W3CDTF">2026-04-16T05:19:24.356Z</dcterms:modified>
</cp:coreProperties>
</file>

<file path=docProps/custom.xml><?xml version="1.0" encoding="utf-8"?>
<Properties xmlns="http://schemas.openxmlformats.org/officeDocument/2006/custom-properties" xmlns:vt="http://schemas.openxmlformats.org/officeDocument/2006/docPropsVTypes"/>
</file>