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672B4" w14:textId="6A2F9419" w:rsidR="000D1EB1" w:rsidRPr="000B7982" w:rsidRDefault="000B7982" w:rsidP="000B7982">
      <w:pPr>
        <w:pStyle w:val="Heading1"/>
        <w:jc w:val="center"/>
        <w:rPr>
          <w:rFonts w:ascii="Times New Roman" w:hAnsi="Times New Roman" w:cs="Times New Roman"/>
          <w:color w:val="000000" w:themeColor="text1"/>
        </w:rPr>
      </w:pPr>
      <w:r w:rsidRPr="000B7982">
        <w:rPr>
          <w:rFonts w:ascii="Times New Roman" w:hAnsi="Times New Roman" w:cs="Times New Roman"/>
          <w:color w:val="000000" w:themeColor="text1"/>
        </w:rPr>
        <w:t>RESPONSE TO REVIEWERS</w:t>
      </w:r>
    </w:p>
    <w:p w14:paraId="7F64F457" w14:textId="77777777" w:rsidR="000B7982" w:rsidRDefault="00000000" w:rsidP="000B7982">
      <w:pPr>
        <w:jc w:val="both"/>
        <w:rPr>
          <w:rFonts w:ascii="Times New Roman" w:hAnsi="Times New Roman" w:cs="Times New Roman"/>
          <w:color w:val="000000" w:themeColor="text1"/>
        </w:rPr>
      </w:pPr>
      <w:r w:rsidRPr="000B7982">
        <w:rPr>
          <w:rFonts w:ascii="Times New Roman" w:hAnsi="Times New Roman" w:cs="Times New Roman"/>
          <w:color w:val="000000" w:themeColor="text1"/>
        </w:rPr>
        <w:br/>
        <w:t>On behalf of all authors, we would like to express our sincere gratitude to the reviewers for their valuable and constructive comments. We have carefully revised the manuscript according to the suggestions. Below, we provide a detailed point-by-point response.</w:t>
      </w:r>
    </w:p>
    <w:p w14:paraId="30B7E72A" w14:textId="2F862E97" w:rsidR="000B7982" w:rsidRPr="000B7982" w:rsidRDefault="00000000" w:rsidP="000B7982">
      <w:pPr>
        <w:jc w:val="both"/>
        <w:rPr>
          <w:rFonts w:ascii="Times New Roman" w:hAnsi="Times New Roman" w:cs="Times New Roman"/>
          <w:b/>
          <w:bCs/>
          <w:color w:val="000000" w:themeColor="text1"/>
        </w:rPr>
      </w:pPr>
      <w:r w:rsidRPr="000B7982">
        <w:rPr>
          <w:rFonts w:ascii="Times New Roman" w:hAnsi="Times New Roman" w:cs="Times New Roman"/>
          <w:color w:val="000000" w:themeColor="text1"/>
        </w:rPr>
        <w:br/>
      </w:r>
      <w:r w:rsidR="000B7982" w:rsidRPr="000B7982">
        <w:rPr>
          <w:rFonts w:ascii="Times New Roman" w:hAnsi="Times New Roman" w:cs="Times New Roman"/>
          <w:b/>
          <w:bCs/>
          <w:color w:val="000000" w:themeColor="text1"/>
        </w:rPr>
        <w:t>Response to Reviewer 1</w:t>
      </w:r>
    </w:p>
    <w:p w14:paraId="1A2C041C" w14:textId="77777777" w:rsidR="000B7982" w:rsidRPr="000B7982" w:rsidRDefault="000B7982" w:rsidP="000B7982">
      <w:pPr>
        <w:numPr>
          <w:ilvl w:val="0"/>
          <w:numId w:val="10"/>
        </w:numPr>
        <w:jc w:val="both"/>
        <w:rPr>
          <w:rFonts w:ascii="Times New Roman" w:hAnsi="Times New Roman" w:cs="Times New Roman"/>
          <w:color w:val="000000" w:themeColor="text1"/>
        </w:rPr>
      </w:pPr>
      <w:r w:rsidRPr="000B7982">
        <w:rPr>
          <w:rFonts w:ascii="Times New Roman" w:hAnsi="Times New Roman" w:cs="Times New Roman"/>
          <w:b/>
          <w:bCs/>
          <w:color w:val="000000" w:themeColor="text1"/>
        </w:rPr>
        <w:t>Novelty of SRNet usage</w:t>
      </w:r>
    </w:p>
    <w:p w14:paraId="25A67573" w14:textId="77777777" w:rsidR="000B7982" w:rsidRPr="000B7982" w:rsidRDefault="000B7982" w:rsidP="000B7982">
      <w:pPr>
        <w:numPr>
          <w:ilvl w:val="1"/>
          <w:numId w:val="10"/>
        </w:numPr>
        <w:jc w:val="both"/>
        <w:rPr>
          <w:rFonts w:ascii="Times New Roman" w:hAnsi="Times New Roman" w:cs="Times New Roman"/>
          <w:color w:val="000000" w:themeColor="text1"/>
          <w:highlight w:val="yellow"/>
        </w:rPr>
      </w:pPr>
      <w:r w:rsidRPr="000B7982">
        <w:rPr>
          <w:rFonts w:ascii="Times New Roman" w:hAnsi="Times New Roman" w:cs="Times New Roman"/>
          <w:color w:val="000000" w:themeColor="text1"/>
          <w:highlight w:val="yellow"/>
        </w:rPr>
        <w:t xml:space="preserve">We acknowledge the reviewer’s concern. We have revised the </w:t>
      </w:r>
      <w:r w:rsidRPr="000B7982">
        <w:rPr>
          <w:rFonts w:ascii="Times New Roman" w:hAnsi="Times New Roman" w:cs="Times New Roman"/>
          <w:i/>
          <w:iCs/>
          <w:color w:val="000000" w:themeColor="text1"/>
          <w:highlight w:val="yellow"/>
        </w:rPr>
        <w:t>Introduction</w:t>
      </w:r>
      <w:r w:rsidRPr="000B7982">
        <w:rPr>
          <w:rFonts w:ascii="Times New Roman" w:hAnsi="Times New Roman" w:cs="Times New Roman"/>
          <w:color w:val="000000" w:themeColor="text1"/>
          <w:highlight w:val="yellow"/>
        </w:rPr>
        <w:t xml:space="preserve"> to clarify that the novelty of our study lies in the </w:t>
      </w:r>
      <w:r w:rsidRPr="000B7982">
        <w:rPr>
          <w:rFonts w:ascii="Times New Roman" w:hAnsi="Times New Roman" w:cs="Times New Roman"/>
          <w:b/>
          <w:bCs/>
          <w:color w:val="000000" w:themeColor="text1"/>
          <w:highlight w:val="yellow"/>
        </w:rPr>
        <w:t>adaptation and optimization of SRNet to the cybersecurity domain</w:t>
      </w:r>
      <w:r w:rsidRPr="000B7982">
        <w:rPr>
          <w:rFonts w:ascii="Times New Roman" w:hAnsi="Times New Roman" w:cs="Times New Roman"/>
          <w:color w:val="000000" w:themeColor="text1"/>
          <w:highlight w:val="yellow"/>
        </w:rPr>
        <w:t>, particularly with the incorporation of domain knowledge initialization and imbalance-handling strategies.</w:t>
      </w:r>
    </w:p>
    <w:p w14:paraId="7DF476FE" w14:textId="77777777" w:rsidR="000B7982" w:rsidRPr="000B7982" w:rsidRDefault="000B7982" w:rsidP="000B7982">
      <w:pPr>
        <w:numPr>
          <w:ilvl w:val="0"/>
          <w:numId w:val="10"/>
        </w:numPr>
        <w:jc w:val="both"/>
        <w:rPr>
          <w:rFonts w:ascii="Times New Roman" w:hAnsi="Times New Roman" w:cs="Times New Roman"/>
          <w:color w:val="000000" w:themeColor="text1"/>
        </w:rPr>
      </w:pPr>
      <w:r w:rsidRPr="000B7982">
        <w:rPr>
          <w:rFonts w:ascii="Times New Roman" w:hAnsi="Times New Roman" w:cs="Times New Roman"/>
          <w:b/>
          <w:bCs/>
          <w:color w:val="000000" w:themeColor="text1"/>
        </w:rPr>
        <w:t>Methodology details</w:t>
      </w:r>
    </w:p>
    <w:p w14:paraId="2685F3A6" w14:textId="77777777" w:rsidR="000B7982" w:rsidRPr="000B7982" w:rsidRDefault="000B7982" w:rsidP="000B7982">
      <w:pPr>
        <w:numPr>
          <w:ilvl w:val="1"/>
          <w:numId w:val="10"/>
        </w:numPr>
        <w:jc w:val="both"/>
        <w:rPr>
          <w:rFonts w:ascii="Times New Roman" w:hAnsi="Times New Roman" w:cs="Times New Roman"/>
          <w:color w:val="000000" w:themeColor="text1"/>
          <w:highlight w:val="yellow"/>
        </w:rPr>
      </w:pPr>
      <w:r w:rsidRPr="000B7982">
        <w:rPr>
          <w:rFonts w:ascii="Times New Roman" w:hAnsi="Times New Roman" w:cs="Times New Roman"/>
          <w:color w:val="000000" w:themeColor="text1"/>
          <w:highlight w:val="yellow"/>
        </w:rPr>
        <w:t xml:space="preserve">The </w:t>
      </w:r>
      <w:r w:rsidRPr="000B7982">
        <w:rPr>
          <w:rFonts w:ascii="Times New Roman" w:hAnsi="Times New Roman" w:cs="Times New Roman"/>
          <w:i/>
          <w:iCs/>
          <w:color w:val="000000" w:themeColor="text1"/>
          <w:highlight w:val="yellow"/>
        </w:rPr>
        <w:t>Methodology</w:t>
      </w:r>
      <w:r w:rsidRPr="000B7982">
        <w:rPr>
          <w:rFonts w:ascii="Times New Roman" w:hAnsi="Times New Roman" w:cs="Times New Roman"/>
          <w:color w:val="000000" w:themeColor="text1"/>
          <w:highlight w:val="yellow"/>
        </w:rPr>
        <w:t xml:space="preserve"> section has been expanded to include detailed information on data preprocessing, hyperparameter settings (learning rate, batch size, optimizer), and techniques for handling class imbalance (SMOTE and weighted loss).</w:t>
      </w:r>
    </w:p>
    <w:p w14:paraId="7BE0E711" w14:textId="77777777" w:rsidR="000B7982" w:rsidRPr="000B7982" w:rsidRDefault="000B7982" w:rsidP="000B7982">
      <w:pPr>
        <w:numPr>
          <w:ilvl w:val="0"/>
          <w:numId w:val="10"/>
        </w:numPr>
        <w:jc w:val="both"/>
        <w:rPr>
          <w:rFonts w:ascii="Times New Roman" w:hAnsi="Times New Roman" w:cs="Times New Roman"/>
          <w:color w:val="000000" w:themeColor="text1"/>
        </w:rPr>
      </w:pPr>
      <w:r w:rsidRPr="000B7982">
        <w:rPr>
          <w:rFonts w:ascii="Times New Roman" w:hAnsi="Times New Roman" w:cs="Times New Roman"/>
          <w:b/>
          <w:bCs/>
          <w:color w:val="000000" w:themeColor="text1"/>
        </w:rPr>
        <w:t>Performance metrics</w:t>
      </w:r>
    </w:p>
    <w:p w14:paraId="7E0D671D" w14:textId="77777777" w:rsidR="000B7982" w:rsidRPr="000B7982" w:rsidRDefault="000B7982" w:rsidP="000B7982">
      <w:pPr>
        <w:numPr>
          <w:ilvl w:val="1"/>
          <w:numId w:val="10"/>
        </w:numPr>
        <w:jc w:val="both"/>
        <w:rPr>
          <w:rFonts w:ascii="Times New Roman" w:hAnsi="Times New Roman" w:cs="Times New Roman"/>
          <w:color w:val="000000" w:themeColor="text1"/>
          <w:highlight w:val="yellow"/>
        </w:rPr>
      </w:pPr>
      <w:r w:rsidRPr="000B7982">
        <w:rPr>
          <w:rFonts w:ascii="Times New Roman" w:hAnsi="Times New Roman" w:cs="Times New Roman"/>
          <w:color w:val="000000" w:themeColor="text1"/>
          <w:highlight w:val="yellow"/>
        </w:rPr>
        <w:t xml:space="preserve">We now provide comprehensive evaluation metrics (Accuracy, Precision, Recall, F1-score, and AUC) along with statistical significance testing (t-test, p &lt; 0.05). Results are presented in revised </w:t>
      </w:r>
      <w:r w:rsidRPr="000B7982">
        <w:rPr>
          <w:rFonts w:ascii="Times New Roman" w:hAnsi="Times New Roman" w:cs="Times New Roman"/>
          <w:i/>
          <w:iCs/>
          <w:color w:val="000000" w:themeColor="text1"/>
          <w:highlight w:val="yellow"/>
        </w:rPr>
        <w:t>Tables</w:t>
      </w:r>
      <w:r w:rsidRPr="000B7982">
        <w:rPr>
          <w:rFonts w:ascii="Times New Roman" w:hAnsi="Times New Roman" w:cs="Times New Roman"/>
          <w:color w:val="000000" w:themeColor="text1"/>
          <w:highlight w:val="yellow"/>
        </w:rPr>
        <w:t xml:space="preserve"> and </w:t>
      </w:r>
      <w:r w:rsidRPr="000B7982">
        <w:rPr>
          <w:rFonts w:ascii="Times New Roman" w:hAnsi="Times New Roman" w:cs="Times New Roman"/>
          <w:i/>
          <w:iCs/>
          <w:color w:val="000000" w:themeColor="text1"/>
          <w:highlight w:val="yellow"/>
        </w:rPr>
        <w:t>Figures</w:t>
      </w:r>
      <w:r w:rsidRPr="000B7982">
        <w:rPr>
          <w:rFonts w:ascii="Times New Roman" w:hAnsi="Times New Roman" w:cs="Times New Roman"/>
          <w:color w:val="000000" w:themeColor="text1"/>
          <w:highlight w:val="yellow"/>
        </w:rPr>
        <w:t>.</w:t>
      </w:r>
    </w:p>
    <w:p w14:paraId="6339D21F" w14:textId="77777777" w:rsidR="000B7982" w:rsidRPr="000B7982" w:rsidRDefault="000B7982" w:rsidP="000B7982">
      <w:pPr>
        <w:numPr>
          <w:ilvl w:val="0"/>
          <w:numId w:val="10"/>
        </w:numPr>
        <w:jc w:val="both"/>
        <w:rPr>
          <w:rFonts w:ascii="Times New Roman" w:hAnsi="Times New Roman" w:cs="Times New Roman"/>
          <w:color w:val="000000" w:themeColor="text1"/>
        </w:rPr>
      </w:pPr>
      <w:r w:rsidRPr="000B7982">
        <w:rPr>
          <w:rFonts w:ascii="Times New Roman" w:hAnsi="Times New Roman" w:cs="Times New Roman"/>
          <w:b/>
          <w:bCs/>
          <w:color w:val="000000" w:themeColor="text1"/>
        </w:rPr>
        <w:t>Baseline comparison</w:t>
      </w:r>
    </w:p>
    <w:p w14:paraId="3C3EE294" w14:textId="77777777" w:rsidR="000B7982" w:rsidRPr="000B7982" w:rsidRDefault="000B7982" w:rsidP="000B7982">
      <w:pPr>
        <w:numPr>
          <w:ilvl w:val="1"/>
          <w:numId w:val="10"/>
        </w:numPr>
        <w:jc w:val="both"/>
        <w:rPr>
          <w:rFonts w:ascii="Times New Roman" w:hAnsi="Times New Roman" w:cs="Times New Roman"/>
          <w:color w:val="000000" w:themeColor="text1"/>
        </w:rPr>
      </w:pPr>
      <w:r w:rsidRPr="000B7982">
        <w:rPr>
          <w:rFonts w:ascii="Times New Roman" w:hAnsi="Times New Roman" w:cs="Times New Roman"/>
          <w:color w:val="000000" w:themeColor="text1"/>
          <w:highlight w:val="yellow"/>
        </w:rPr>
        <w:t xml:space="preserve">Detailed comparisons with traditional ML and DL baselines (CNN, LSTM, Random Forest, etc.) have been added. Comparative results are reported in </w:t>
      </w:r>
      <w:r w:rsidRPr="000B7982">
        <w:rPr>
          <w:rFonts w:ascii="Times New Roman" w:hAnsi="Times New Roman" w:cs="Times New Roman"/>
          <w:i/>
          <w:iCs/>
          <w:color w:val="000000" w:themeColor="text1"/>
          <w:highlight w:val="yellow"/>
        </w:rPr>
        <w:t>Tables X–Y</w:t>
      </w:r>
      <w:r w:rsidRPr="000B7982">
        <w:rPr>
          <w:rFonts w:ascii="Times New Roman" w:hAnsi="Times New Roman" w:cs="Times New Roman"/>
          <w:color w:val="000000" w:themeColor="text1"/>
          <w:highlight w:val="yellow"/>
        </w:rPr>
        <w:t xml:space="preserve"> and illustrated in </w:t>
      </w:r>
      <w:r w:rsidRPr="000B7982">
        <w:rPr>
          <w:rFonts w:ascii="Times New Roman" w:hAnsi="Times New Roman" w:cs="Times New Roman"/>
          <w:i/>
          <w:iCs/>
          <w:color w:val="000000" w:themeColor="text1"/>
          <w:highlight w:val="yellow"/>
        </w:rPr>
        <w:t>Figures</w:t>
      </w:r>
      <w:r w:rsidRPr="000B7982">
        <w:rPr>
          <w:rFonts w:ascii="Times New Roman" w:hAnsi="Times New Roman" w:cs="Times New Roman"/>
          <w:color w:val="000000" w:themeColor="text1"/>
        </w:rPr>
        <w:t>.</w:t>
      </w:r>
    </w:p>
    <w:p w14:paraId="53871025" w14:textId="77777777" w:rsidR="000B7982" w:rsidRPr="000B7982" w:rsidRDefault="000B7982" w:rsidP="000B7982">
      <w:pPr>
        <w:numPr>
          <w:ilvl w:val="0"/>
          <w:numId w:val="10"/>
        </w:numPr>
        <w:jc w:val="both"/>
        <w:rPr>
          <w:rFonts w:ascii="Times New Roman" w:hAnsi="Times New Roman" w:cs="Times New Roman"/>
          <w:color w:val="000000" w:themeColor="text1"/>
        </w:rPr>
      </w:pPr>
      <w:r w:rsidRPr="000B7982">
        <w:rPr>
          <w:rFonts w:ascii="Times New Roman" w:hAnsi="Times New Roman" w:cs="Times New Roman"/>
          <w:b/>
          <w:bCs/>
          <w:color w:val="000000" w:themeColor="text1"/>
        </w:rPr>
        <w:t>Domain knowledge initialization</w:t>
      </w:r>
    </w:p>
    <w:p w14:paraId="7F83471C" w14:textId="77777777" w:rsidR="000B7982" w:rsidRPr="000B7982" w:rsidRDefault="000B7982" w:rsidP="000B7982">
      <w:pPr>
        <w:numPr>
          <w:ilvl w:val="1"/>
          <w:numId w:val="10"/>
        </w:numPr>
        <w:jc w:val="both"/>
        <w:rPr>
          <w:rFonts w:ascii="Times New Roman" w:hAnsi="Times New Roman" w:cs="Times New Roman"/>
          <w:color w:val="000000" w:themeColor="text1"/>
        </w:rPr>
      </w:pPr>
      <w:r w:rsidRPr="000B7982">
        <w:rPr>
          <w:rFonts w:ascii="Times New Roman" w:hAnsi="Times New Roman" w:cs="Times New Roman"/>
          <w:color w:val="000000" w:themeColor="text1"/>
          <w:highlight w:val="yellow"/>
        </w:rPr>
        <w:t>We have rewritten this part to ensure clarity and reproducibility. Algorithmic steps, pseudo-code, and a practical example are now provided in the revised manuscript</w:t>
      </w:r>
      <w:r w:rsidRPr="000B7982">
        <w:rPr>
          <w:rFonts w:ascii="Times New Roman" w:hAnsi="Times New Roman" w:cs="Times New Roman"/>
          <w:color w:val="000000" w:themeColor="text1"/>
        </w:rPr>
        <w:t>.</w:t>
      </w:r>
    </w:p>
    <w:p w14:paraId="02219C10" w14:textId="77777777" w:rsidR="00431D8E" w:rsidRPr="00431D8E" w:rsidRDefault="00000000" w:rsidP="00431D8E">
      <w:pPr>
        <w:jc w:val="both"/>
        <w:rPr>
          <w:rFonts w:ascii="Times New Roman" w:hAnsi="Times New Roman" w:cs="Times New Roman"/>
          <w:b/>
          <w:bCs/>
          <w:color w:val="000000" w:themeColor="text1"/>
        </w:rPr>
      </w:pPr>
      <w:r w:rsidRPr="000B7982">
        <w:rPr>
          <w:rFonts w:ascii="Times New Roman" w:hAnsi="Times New Roman" w:cs="Times New Roman"/>
          <w:color w:val="000000" w:themeColor="text1"/>
        </w:rPr>
        <w:br/>
      </w:r>
      <w:r w:rsidR="00431D8E" w:rsidRPr="00431D8E">
        <w:rPr>
          <w:rFonts w:ascii="Times New Roman" w:hAnsi="Times New Roman" w:cs="Times New Roman"/>
          <w:b/>
          <w:bCs/>
          <w:color w:val="000000" w:themeColor="text1"/>
        </w:rPr>
        <w:t>Response to Reviewer 2</w:t>
      </w:r>
    </w:p>
    <w:p w14:paraId="5E6CB062" w14:textId="77777777" w:rsidR="00431D8E" w:rsidRPr="00431D8E" w:rsidRDefault="00431D8E" w:rsidP="00431D8E">
      <w:pPr>
        <w:numPr>
          <w:ilvl w:val="0"/>
          <w:numId w:val="11"/>
        </w:numPr>
        <w:jc w:val="both"/>
        <w:rPr>
          <w:rFonts w:ascii="Times New Roman" w:hAnsi="Times New Roman" w:cs="Times New Roman"/>
          <w:color w:val="000000" w:themeColor="text1"/>
        </w:rPr>
      </w:pPr>
      <w:r w:rsidRPr="00431D8E">
        <w:rPr>
          <w:rFonts w:ascii="Times New Roman" w:hAnsi="Times New Roman" w:cs="Times New Roman"/>
          <w:b/>
          <w:bCs/>
          <w:color w:val="000000" w:themeColor="text1"/>
        </w:rPr>
        <w:t>Novelty and performance advantage</w:t>
      </w:r>
    </w:p>
    <w:p w14:paraId="0AB77DA4" w14:textId="77777777" w:rsidR="00431D8E" w:rsidRPr="00431D8E" w:rsidRDefault="00431D8E" w:rsidP="00431D8E">
      <w:pPr>
        <w:numPr>
          <w:ilvl w:val="1"/>
          <w:numId w:val="11"/>
        </w:numPr>
        <w:jc w:val="both"/>
        <w:rPr>
          <w:rFonts w:ascii="Times New Roman" w:hAnsi="Times New Roman" w:cs="Times New Roman"/>
          <w:color w:val="000000" w:themeColor="text1"/>
          <w:highlight w:val="yellow"/>
        </w:rPr>
      </w:pPr>
      <w:r w:rsidRPr="00431D8E">
        <w:rPr>
          <w:rFonts w:ascii="Times New Roman" w:hAnsi="Times New Roman" w:cs="Times New Roman"/>
          <w:color w:val="000000" w:themeColor="text1"/>
          <w:highlight w:val="yellow"/>
        </w:rPr>
        <w:lastRenderedPageBreak/>
        <w:t xml:space="preserve">A dedicated subsection has been added in the </w:t>
      </w:r>
      <w:r w:rsidRPr="00431D8E">
        <w:rPr>
          <w:rFonts w:ascii="Times New Roman" w:hAnsi="Times New Roman" w:cs="Times New Roman"/>
          <w:i/>
          <w:iCs/>
          <w:color w:val="000000" w:themeColor="text1"/>
          <w:highlight w:val="yellow"/>
        </w:rPr>
        <w:t>Introduction</w:t>
      </w:r>
      <w:r w:rsidRPr="00431D8E">
        <w:rPr>
          <w:rFonts w:ascii="Times New Roman" w:hAnsi="Times New Roman" w:cs="Times New Roman"/>
          <w:color w:val="000000" w:themeColor="text1"/>
          <w:highlight w:val="yellow"/>
        </w:rPr>
        <w:t xml:space="preserve"> to explicitly highlight the novelty and performance gains of our approach, supported with experimental evidence.</w:t>
      </w:r>
    </w:p>
    <w:p w14:paraId="3C5BC57C" w14:textId="77777777" w:rsidR="00431D8E" w:rsidRPr="00431D8E" w:rsidRDefault="00431D8E" w:rsidP="00431D8E">
      <w:pPr>
        <w:numPr>
          <w:ilvl w:val="0"/>
          <w:numId w:val="11"/>
        </w:numPr>
        <w:jc w:val="both"/>
        <w:rPr>
          <w:rFonts w:ascii="Times New Roman" w:hAnsi="Times New Roman" w:cs="Times New Roman"/>
          <w:color w:val="000000" w:themeColor="text1"/>
        </w:rPr>
      </w:pPr>
      <w:r w:rsidRPr="00431D8E">
        <w:rPr>
          <w:rFonts w:ascii="Times New Roman" w:hAnsi="Times New Roman" w:cs="Times New Roman"/>
          <w:b/>
          <w:bCs/>
          <w:color w:val="000000" w:themeColor="text1"/>
        </w:rPr>
        <w:t>Main contributions</w:t>
      </w:r>
    </w:p>
    <w:p w14:paraId="27B3F5C6" w14:textId="77777777" w:rsidR="00431D8E" w:rsidRPr="00431D8E" w:rsidRDefault="00431D8E" w:rsidP="00431D8E">
      <w:pPr>
        <w:numPr>
          <w:ilvl w:val="1"/>
          <w:numId w:val="11"/>
        </w:numPr>
        <w:jc w:val="both"/>
        <w:rPr>
          <w:rFonts w:ascii="Times New Roman" w:hAnsi="Times New Roman" w:cs="Times New Roman"/>
          <w:color w:val="000000" w:themeColor="text1"/>
          <w:highlight w:val="yellow"/>
        </w:rPr>
      </w:pPr>
      <w:r w:rsidRPr="00431D8E">
        <w:rPr>
          <w:rFonts w:ascii="Times New Roman" w:hAnsi="Times New Roman" w:cs="Times New Roman"/>
          <w:color w:val="000000" w:themeColor="text1"/>
          <w:highlight w:val="yellow"/>
        </w:rPr>
        <w:t xml:space="preserve">The </w:t>
      </w:r>
      <w:r w:rsidRPr="00431D8E">
        <w:rPr>
          <w:rFonts w:ascii="Times New Roman" w:hAnsi="Times New Roman" w:cs="Times New Roman"/>
          <w:i/>
          <w:iCs/>
          <w:color w:val="000000" w:themeColor="text1"/>
          <w:highlight w:val="yellow"/>
        </w:rPr>
        <w:t>Introduction</w:t>
      </w:r>
      <w:r w:rsidRPr="00431D8E">
        <w:rPr>
          <w:rFonts w:ascii="Times New Roman" w:hAnsi="Times New Roman" w:cs="Times New Roman"/>
          <w:color w:val="000000" w:themeColor="text1"/>
          <w:highlight w:val="yellow"/>
        </w:rPr>
        <w:t xml:space="preserve"> now concludes with a concise bullet list of the paper’s main contributions.</w:t>
      </w:r>
    </w:p>
    <w:p w14:paraId="3DE86A99" w14:textId="77777777" w:rsidR="00431D8E" w:rsidRPr="00431D8E" w:rsidRDefault="00431D8E" w:rsidP="00431D8E">
      <w:pPr>
        <w:numPr>
          <w:ilvl w:val="0"/>
          <w:numId w:val="11"/>
        </w:numPr>
        <w:jc w:val="both"/>
        <w:rPr>
          <w:rFonts w:ascii="Times New Roman" w:hAnsi="Times New Roman" w:cs="Times New Roman"/>
          <w:color w:val="000000" w:themeColor="text1"/>
        </w:rPr>
      </w:pPr>
      <w:r w:rsidRPr="00431D8E">
        <w:rPr>
          <w:rFonts w:ascii="Times New Roman" w:hAnsi="Times New Roman" w:cs="Times New Roman"/>
          <w:b/>
          <w:bCs/>
          <w:color w:val="000000" w:themeColor="text1"/>
        </w:rPr>
        <w:t>Societal impact</w:t>
      </w:r>
    </w:p>
    <w:p w14:paraId="184E35DE" w14:textId="77777777" w:rsidR="00431D8E" w:rsidRPr="00431D8E" w:rsidRDefault="00431D8E" w:rsidP="00431D8E">
      <w:pPr>
        <w:numPr>
          <w:ilvl w:val="1"/>
          <w:numId w:val="11"/>
        </w:numPr>
        <w:jc w:val="both"/>
        <w:rPr>
          <w:rFonts w:ascii="Times New Roman" w:hAnsi="Times New Roman" w:cs="Times New Roman"/>
          <w:color w:val="000000" w:themeColor="text1"/>
          <w:highlight w:val="yellow"/>
        </w:rPr>
      </w:pPr>
      <w:r w:rsidRPr="00431D8E">
        <w:rPr>
          <w:rFonts w:ascii="Times New Roman" w:hAnsi="Times New Roman" w:cs="Times New Roman"/>
          <w:color w:val="000000" w:themeColor="text1"/>
          <w:highlight w:val="yellow"/>
        </w:rPr>
        <w:t xml:space="preserve">A new section entitled </w:t>
      </w:r>
      <w:r w:rsidRPr="00431D8E">
        <w:rPr>
          <w:rFonts w:ascii="Times New Roman" w:hAnsi="Times New Roman" w:cs="Times New Roman"/>
          <w:i/>
          <w:iCs/>
          <w:color w:val="000000" w:themeColor="text1"/>
          <w:highlight w:val="yellow"/>
        </w:rPr>
        <w:t>“Societal and Practical Implications”</w:t>
      </w:r>
      <w:r w:rsidRPr="00431D8E">
        <w:rPr>
          <w:rFonts w:ascii="Times New Roman" w:hAnsi="Times New Roman" w:cs="Times New Roman"/>
          <w:color w:val="000000" w:themeColor="text1"/>
          <w:highlight w:val="yellow"/>
        </w:rPr>
        <w:t xml:space="preserve"> has been included, emphasizing the broader significance of our study in strengthening cybersecurity and protecting digital infrastructures.</w:t>
      </w:r>
    </w:p>
    <w:p w14:paraId="0B7547AA" w14:textId="77777777" w:rsidR="00431D8E" w:rsidRPr="00431D8E" w:rsidRDefault="00431D8E" w:rsidP="00431D8E">
      <w:pPr>
        <w:numPr>
          <w:ilvl w:val="0"/>
          <w:numId w:val="11"/>
        </w:numPr>
        <w:jc w:val="both"/>
        <w:rPr>
          <w:rFonts w:ascii="Times New Roman" w:hAnsi="Times New Roman" w:cs="Times New Roman"/>
          <w:color w:val="000000" w:themeColor="text1"/>
        </w:rPr>
      </w:pPr>
      <w:r w:rsidRPr="00431D8E">
        <w:rPr>
          <w:rFonts w:ascii="Times New Roman" w:hAnsi="Times New Roman" w:cs="Times New Roman"/>
          <w:b/>
          <w:bCs/>
          <w:color w:val="000000" w:themeColor="text1"/>
        </w:rPr>
        <w:t>Future research directions</w:t>
      </w:r>
    </w:p>
    <w:p w14:paraId="2D4AF936" w14:textId="77777777" w:rsidR="00431D8E" w:rsidRPr="00431D8E" w:rsidRDefault="00431D8E" w:rsidP="00431D8E">
      <w:pPr>
        <w:numPr>
          <w:ilvl w:val="1"/>
          <w:numId w:val="11"/>
        </w:numPr>
        <w:jc w:val="both"/>
        <w:rPr>
          <w:rFonts w:ascii="Times New Roman" w:hAnsi="Times New Roman" w:cs="Times New Roman"/>
          <w:color w:val="000000" w:themeColor="text1"/>
          <w:highlight w:val="yellow"/>
        </w:rPr>
      </w:pPr>
      <w:r w:rsidRPr="00431D8E">
        <w:rPr>
          <w:rFonts w:ascii="Times New Roman" w:hAnsi="Times New Roman" w:cs="Times New Roman"/>
          <w:color w:val="000000" w:themeColor="text1"/>
          <w:highlight w:val="yellow"/>
        </w:rPr>
        <w:t xml:space="preserve">The </w:t>
      </w:r>
      <w:r w:rsidRPr="00431D8E">
        <w:rPr>
          <w:rFonts w:ascii="Times New Roman" w:hAnsi="Times New Roman" w:cs="Times New Roman"/>
          <w:i/>
          <w:iCs/>
          <w:color w:val="000000" w:themeColor="text1"/>
          <w:highlight w:val="yellow"/>
        </w:rPr>
        <w:t>Conclusion</w:t>
      </w:r>
      <w:r w:rsidRPr="00431D8E">
        <w:rPr>
          <w:rFonts w:ascii="Times New Roman" w:hAnsi="Times New Roman" w:cs="Times New Roman"/>
          <w:color w:val="000000" w:themeColor="text1"/>
          <w:highlight w:val="yellow"/>
        </w:rPr>
        <w:t xml:space="preserve"> has been extended to outline future work, including applications to IoT environments, adversarial robustness, and self-supervised learning approaches.</w:t>
      </w:r>
    </w:p>
    <w:p w14:paraId="304745CA" w14:textId="77777777" w:rsidR="00431D8E" w:rsidRPr="00431D8E" w:rsidRDefault="00431D8E" w:rsidP="00431D8E">
      <w:pPr>
        <w:numPr>
          <w:ilvl w:val="0"/>
          <w:numId w:val="11"/>
        </w:numPr>
        <w:jc w:val="both"/>
        <w:rPr>
          <w:rFonts w:ascii="Times New Roman" w:hAnsi="Times New Roman" w:cs="Times New Roman"/>
          <w:color w:val="000000" w:themeColor="text1"/>
        </w:rPr>
      </w:pPr>
      <w:r w:rsidRPr="00431D8E">
        <w:rPr>
          <w:rFonts w:ascii="Times New Roman" w:hAnsi="Times New Roman" w:cs="Times New Roman"/>
          <w:b/>
          <w:bCs/>
          <w:color w:val="000000" w:themeColor="text1"/>
        </w:rPr>
        <w:t>Recent references</w:t>
      </w:r>
    </w:p>
    <w:p w14:paraId="394D2090" w14:textId="77777777" w:rsidR="00431D8E" w:rsidRPr="00431D8E" w:rsidRDefault="00431D8E" w:rsidP="00431D8E">
      <w:pPr>
        <w:numPr>
          <w:ilvl w:val="1"/>
          <w:numId w:val="11"/>
        </w:numPr>
        <w:jc w:val="both"/>
        <w:rPr>
          <w:rFonts w:ascii="Times New Roman" w:hAnsi="Times New Roman" w:cs="Times New Roman"/>
          <w:color w:val="000000" w:themeColor="text1"/>
        </w:rPr>
      </w:pPr>
      <w:r w:rsidRPr="00431D8E">
        <w:rPr>
          <w:rFonts w:ascii="Times New Roman" w:hAnsi="Times New Roman" w:cs="Times New Roman"/>
          <w:color w:val="000000" w:themeColor="text1"/>
          <w:highlight w:val="yellow"/>
        </w:rPr>
        <w:t xml:space="preserve">The </w:t>
      </w:r>
      <w:r w:rsidRPr="00431D8E">
        <w:rPr>
          <w:rFonts w:ascii="Times New Roman" w:hAnsi="Times New Roman" w:cs="Times New Roman"/>
          <w:i/>
          <w:iCs/>
          <w:color w:val="000000" w:themeColor="text1"/>
          <w:highlight w:val="yellow"/>
        </w:rPr>
        <w:t>References</w:t>
      </w:r>
      <w:r w:rsidRPr="00431D8E">
        <w:rPr>
          <w:rFonts w:ascii="Times New Roman" w:hAnsi="Times New Roman" w:cs="Times New Roman"/>
          <w:color w:val="000000" w:themeColor="text1"/>
          <w:highlight w:val="yellow"/>
        </w:rPr>
        <w:t xml:space="preserve"> have been updated with recent studies (2023–2024), ensuring the manuscript aligns with current research trends</w:t>
      </w:r>
      <w:r w:rsidRPr="00431D8E">
        <w:rPr>
          <w:rFonts w:ascii="Times New Roman" w:hAnsi="Times New Roman" w:cs="Times New Roman"/>
          <w:color w:val="000000" w:themeColor="text1"/>
        </w:rPr>
        <w:t>.</w:t>
      </w:r>
    </w:p>
    <w:p w14:paraId="5EE70768" w14:textId="77777777" w:rsidR="00431D8E" w:rsidRPr="00431D8E" w:rsidRDefault="00431D8E" w:rsidP="00431D8E">
      <w:pPr>
        <w:numPr>
          <w:ilvl w:val="0"/>
          <w:numId w:val="11"/>
        </w:numPr>
        <w:jc w:val="both"/>
        <w:rPr>
          <w:rFonts w:ascii="Times New Roman" w:hAnsi="Times New Roman" w:cs="Times New Roman"/>
          <w:color w:val="000000" w:themeColor="text1"/>
        </w:rPr>
      </w:pPr>
      <w:r w:rsidRPr="00431D8E">
        <w:rPr>
          <w:rFonts w:ascii="Times New Roman" w:hAnsi="Times New Roman" w:cs="Times New Roman"/>
          <w:b/>
          <w:bCs/>
          <w:color w:val="000000" w:themeColor="text1"/>
        </w:rPr>
        <w:t>Expanded literature review</w:t>
      </w:r>
    </w:p>
    <w:p w14:paraId="60140B7A" w14:textId="77777777" w:rsidR="00431D8E" w:rsidRPr="00431D8E" w:rsidRDefault="00431D8E" w:rsidP="00431D8E">
      <w:pPr>
        <w:numPr>
          <w:ilvl w:val="1"/>
          <w:numId w:val="11"/>
        </w:numPr>
        <w:jc w:val="both"/>
        <w:rPr>
          <w:rFonts w:ascii="Times New Roman" w:hAnsi="Times New Roman" w:cs="Times New Roman"/>
          <w:color w:val="000000" w:themeColor="text1"/>
        </w:rPr>
      </w:pPr>
      <w:r w:rsidRPr="00431D8E">
        <w:rPr>
          <w:rFonts w:ascii="Times New Roman" w:hAnsi="Times New Roman" w:cs="Times New Roman"/>
          <w:color w:val="000000" w:themeColor="text1"/>
          <w:highlight w:val="yellow"/>
        </w:rPr>
        <w:t xml:space="preserve">The </w:t>
      </w:r>
      <w:r w:rsidRPr="00431D8E">
        <w:rPr>
          <w:rFonts w:ascii="Times New Roman" w:hAnsi="Times New Roman" w:cs="Times New Roman"/>
          <w:i/>
          <w:iCs/>
          <w:color w:val="000000" w:themeColor="text1"/>
          <w:highlight w:val="yellow"/>
        </w:rPr>
        <w:t>Literature Review</w:t>
      </w:r>
      <w:r w:rsidRPr="00431D8E">
        <w:rPr>
          <w:rFonts w:ascii="Times New Roman" w:hAnsi="Times New Roman" w:cs="Times New Roman"/>
          <w:color w:val="000000" w:themeColor="text1"/>
          <w:highlight w:val="yellow"/>
        </w:rPr>
        <w:t xml:space="preserve"> has been enriched with additional works from 2024–2025, strengthening the theoretical foundation</w:t>
      </w:r>
      <w:r w:rsidRPr="00431D8E">
        <w:rPr>
          <w:rFonts w:ascii="Times New Roman" w:hAnsi="Times New Roman" w:cs="Times New Roman"/>
          <w:color w:val="000000" w:themeColor="text1"/>
        </w:rPr>
        <w:t>.</w:t>
      </w:r>
    </w:p>
    <w:p w14:paraId="7861FCBF" w14:textId="77777777" w:rsidR="00431D8E" w:rsidRPr="00431D8E" w:rsidRDefault="00431D8E" w:rsidP="00431D8E">
      <w:pPr>
        <w:pStyle w:val="Heading3"/>
        <w:jc w:val="both"/>
        <w:rPr>
          <w:rFonts w:ascii="Times New Roman" w:hAnsi="Times New Roman" w:cs="Times New Roman"/>
          <w:color w:val="000000" w:themeColor="text1"/>
        </w:rPr>
      </w:pPr>
      <w:r w:rsidRPr="00431D8E">
        <w:rPr>
          <w:rStyle w:val="Strong"/>
          <w:rFonts w:ascii="Times New Roman" w:hAnsi="Times New Roman" w:cs="Times New Roman"/>
          <w:b/>
          <w:bCs/>
          <w:color w:val="000000" w:themeColor="text1"/>
        </w:rPr>
        <w:t>Final Remarks</w:t>
      </w:r>
    </w:p>
    <w:p w14:paraId="622A248B" w14:textId="77777777" w:rsidR="00431D8E" w:rsidRPr="00431D8E" w:rsidRDefault="00431D8E" w:rsidP="00431D8E">
      <w:pPr>
        <w:pStyle w:val="NormalWeb"/>
        <w:jc w:val="both"/>
        <w:rPr>
          <w:color w:val="000000" w:themeColor="text1"/>
        </w:rPr>
      </w:pPr>
      <w:r w:rsidRPr="00431D8E">
        <w:rPr>
          <w:color w:val="000000" w:themeColor="text1"/>
        </w:rPr>
        <w:t>We are grateful for the reviewers’ insightful comments, which have substantially improved our paper. We respectfully submit the revised manuscript and believe that the addressed changes enhance both the scientific quality and practical relevance of our work.</w:t>
      </w:r>
    </w:p>
    <w:p w14:paraId="3BCB5030" w14:textId="7C093A55" w:rsidR="000D1EB1" w:rsidRPr="000B7982" w:rsidRDefault="000D1EB1" w:rsidP="000B7982">
      <w:pPr>
        <w:jc w:val="both"/>
        <w:rPr>
          <w:rFonts w:ascii="Times New Roman" w:hAnsi="Times New Roman" w:cs="Times New Roman"/>
          <w:color w:val="000000" w:themeColor="text1"/>
        </w:rPr>
      </w:pPr>
    </w:p>
    <w:sectPr w:rsidR="000D1EB1" w:rsidRPr="000B79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4F541F"/>
    <w:multiLevelType w:val="multilevel"/>
    <w:tmpl w:val="E488BB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903713"/>
    <w:multiLevelType w:val="multilevel"/>
    <w:tmpl w:val="2528C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0654588">
    <w:abstractNumId w:val="8"/>
  </w:num>
  <w:num w:numId="2" w16cid:durableId="390005459">
    <w:abstractNumId w:val="6"/>
  </w:num>
  <w:num w:numId="3" w16cid:durableId="1380279570">
    <w:abstractNumId w:val="5"/>
  </w:num>
  <w:num w:numId="4" w16cid:durableId="785777218">
    <w:abstractNumId w:val="4"/>
  </w:num>
  <w:num w:numId="5" w16cid:durableId="2073961540">
    <w:abstractNumId w:val="7"/>
  </w:num>
  <w:num w:numId="6" w16cid:durableId="23796191">
    <w:abstractNumId w:val="3"/>
  </w:num>
  <w:num w:numId="7" w16cid:durableId="277565820">
    <w:abstractNumId w:val="2"/>
  </w:num>
  <w:num w:numId="8" w16cid:durableId="1546870628">
    <w:abstractNumId w:val="1"/>
  </w:num>
  <w:num w:numId="9" w16cid:durableId="1104302346">
    <w:abstractNumId w:val="0"/>
  </w:num>
  <w:num w:numId="10" w16cid:durableId="1654333813">
    <w:abstractNumId w:val="9"/>
  </w:num>
  <w:num w:numId="11" w16cid:durableId="761342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982"/>
    <w:rsid w:val="000D1EB1"/>
    <w:rsid w:val="0015074B"/>
    <w:rsid w:val="0029639D"/>
    <w:rsid w:val="00326F90"/>
    <w:rsid w:val="00431D8E"/>
    <w:rsid w:val="007137CD"/>
    <w:rsid w:val="00AA1D8D"/>
    <w:rsid w:val="00B47730"/>
    <w:rsid w:val="00C5219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B8F83A"/>
  <w14:defaultImageDpi w14:val="300"/>
  <w15:docId w15:val="{F45924B4-D5DC-407A-9BF8-4EFF59D4D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31D8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422</Words>
  <Characters>2411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Nguyến Quốc  Hùng</cp:lastModifiedBy>
  <cp:revision>4</cp:revision>
  <dcterms:created xsi:type="dcterms:W3CDTF">2013-12-23T23:15:00Z</dcterms:created>
  <dcterms:modified xsi:type="dcterms:W3CDTF">2025-09-23T13:32:00Z</dcterms:modified>
  <cp:category/>
</cp:coreProperties>
</file>