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jc w:val="center"/>
      </w:pPr>
      <w:r>
        <w:t>RESPONSE TO REVIEWERS</w:t>
      </w:r>
    </w:p>
    <w:p>
      <w:r>
        <w:t>On behalf of all authors, we thank the reviewers for the careful and constructive evaluation. The manuscript has been revised point by point. Where a requested experiment is not supported by existing evidence, we strengthened the limitation and narrowed the claim instead of reporting unexecuted results. Location references use section/table/figure identifiers because pagination can vary slightly across Word versions.</w:t>
      </w:r>
    </w:p>
    <w:p>
      <w:pPr>
        <w:pStyle w:val="Heading2"/>
      </w:pPr>
      <w:r>
        <w:t>Response to Reviewer 1</w:t>
      </w:r>
    </w:p>
    <w:p>
      <w:pPr>
        <w:spacing w:before="120" w:after="40"/>
      </w:pPr>
      <w:r>
        <w:rPr>
          <w:b/>
        </w:rPr>
        <w:t xml:space="preserve">Comment 1. </w:t>
      </w:r>
      <w:r>
        <w:t>Clearly specify the source datasets, recording counts, class balance, preprocessing pipeline, and criteria used to quarantine the 30 cross-label files.</w:t>
      </w:r>
    </w:p>
    <w:p>
      <w:pPr>
        <w:spacing w:after="40"/>
      </w:pPr>
      <w:r>
        <w:rPr>
          <w:b/>
        </w:rPr>
        <w:t xml:space="preserve">Response. </w:t>
      </w:r>
      <w:r>
        <w:t>Addressed to the maximum supported by the repository. The manifest does not retain source-dataset identities, speakers, generators, or parent recordings; therefore, no dataset name was invented. We now state that the source is an internally assembled collection with provenance fields marked UNKNOWN, give scanned and retained class counts, explain every preprocessing parameter, and define the quarantine rule as exclusion of every file in an exact-SHA-256 group containing both labels.</w:t>
      </w:r>
    </w:p>
    <w:p>
      <w:pPr>
        <w:spacing w:after="120"/>
      </w:pPr>
      <w:r>
        <w:rPr>
          <w:b/>
        </w:rPr>
        <w:t xml:space="preserve">Changes in the manuscript. </w:t>
      </w:r>
      <w:r>
        <w:t>Section 3, Dataset Integrity and Canonical Split; Standardized Audio Preprocessing; Table 1.</w:t>
      </w:r>
    </w:p>
    <w:p>
      <w:pPr>
        <w:spacing w:before="120" w:after="40"/>
      </w:pPr>
      <w:r>
        <w:rPr>
          <w:b/>
        </w:rPr>
        <w:t xml:space="preserve">Comment 2. </w:t>
      </w:r>
      <w:r>
        <w:t>Report precision, recall, specificity, F1, ROC-AUC, PR-AUC, and confidence intervals in addition to AUC and EER.</w:t>
      </w:r>
    </w:p>
    <w:p>
      <w:pPr>
        <w:spacing w:after="40"/>
      </w:pPr>
      <w:r>
        <w:rPr>
          <w:b/>
        </w:rPr>
        <w:t xml:space="preserve">Response. </w:t>
      </w:r>
      <w:r>
        <w:t>Addressed from stored full-test scores without re-running models. Table 3 now reports precision, recall, specificity, F1, macro-F1, ROC-AUC, PR-AUC, and EER for all six artifacts, with stratified percentile-bootstrap 95% confidence intervals for F1, ROC-AUC, and EER (1,000 iterations; seed 42). The text explicitly identifies these as test-set intervals rather than multi-seed uncertainty.</w:t>
      </w:r>
    </w:p>
    <w:p>
      <w:pPr>
        <w:spacing w:after="120"/>
      </w:pPr>
      <w:r>
        <w:rPr>
          <w:b/>
        </w:rPr>
        <w:t xml:space="preserve">Changes in the manuscript. </w:t>
      </w:r>
      <w:r>
        <w:t>Abstract; Sections 3 and 4; Table 3.</w:t>
      </w:r>
    </w:p>
    <w:p>
      <w:pPr>
        <w:spacing w:before="120" w:after="40"/>
      </w:pPr>
      <w:r>
        <w:rPr>
          <w:b/>
        </w:rPr>
        <w:t xml:space="preserve">Comment 3. </w:t>
      </w:r>
      <w:r>
        <w:t>Provide the exact architectures, pretrained weights, feature extraction settings, training hyperparameters, and calibration procedures for all six detector artifacts.</w:t>
      </w:r>
    </w:p>
    <w:p>
      <w:pPr>
        <w:spacing w:after="40"/>
      </w:pPr>
      <w:r>
        <w:rPr>
          <w:b/>
        </w:rPr>
        <w:t xml:space="preserve">Response. </w:t>
      </w:r>
      <w:r>
        <w:t>Addressed. The revision specifies the four TimeDistributed backbones and shared LSTM head; RawNet2 and AASIST native waveform designs; exact Mel settings; local batch size, optimizer, learning rates, regularization and early-stopping outcomes; ImageNet versus scratch initialization; external-checkpoint provenance; ONNX parity; and validation-only versus default threshold sources. EfficientNet-B0 remains explicitly identified as the available warm-up checkpoint.</w:t>
      </w:r>
    </w:p>
    <w:p>
      <w:pPr>
        <w:spacing w:after="120"/>
      </w:pPr>
      <w:r>
        <w:rPr>
          <w:b/>
        </w:rPr>
        <w:t xml:space="preserve">Changes in the manuscript. </w:t>
      </w:r>
      <w:r>
        <w:t>Section 3, Standardized Audio Preprocessing, Evaluated Detector Architectures, and Training Artifact Provenance and Score Semantics; Table 2.</w:t>
      </w:r>
    </w:p>
    <w:p>
      <w:pPr>
        <w:spacing w:before="120" w:after="40"/>
      </w:pPr>
      <w:r>
        <w:rPr>
          <w:b/>
        </w:rPr>
        <w:t xml:space="preserve">Comment 4. </w:t>
      </w:r>
      <w:r>
        <w:t>Strengthen robustness evaluation by testing multiple SNR levels, codec bitrates, replay conditions, and unseen attack types rather than a fixed 100-recording diagnostic subset.</w:t>
      </w:r>
    </w:p>
    <w:p>
      <w:pPr>
        <w:spacing w:after="40"/>
      </w:pPr>
      <w:r>
        <w:rPr>
          <w:b/>
        </w:rPr>
        <w:t xml:space="preserve">Response. </w:t>
      </w:r>
      <w:r>
        <w:t>Partially addressed, with scope kept truthful. The executed protocol already includes AWGN at 20/10/5/0 dB, MP3 at 128/64 kb/s, Opus at 64 kb/s, AAC at 96 kb/s, and a documented simulated-replay channel, all on the same stratified 100-recording subset. No unseen-attack or full-test stress outputs exist, so they were not fabricated. The manuscript now consistently calls this evidence diagnostic and lists unseen/full-test/physical-replay evaluation as future work.</w:t>
      </w:r>
    </w:p>
    <w:p>
      <w:pPr>
        <w:spacing w:after="120"/>
      </w:pPr>
      <w:r>
        <w:rPr>
          <w:b/>
        </w:rPr>
        <w:t xml:space="preserve">Changes in the manuscript. </w:t>
      </w:r>
      <w:r>
        <w:t>Abstract; Section 3, Clean and Diagnostic Stress Evaluation; Section 4, RQ2; Limitations; Conclusion.</w:t>
      </w:r>
    </w:p>
    <w:p>
      <w:pPr>
        <w:spacing w:before="120" w:after="40"/>
      </w:pPr>
      <w:r>
        <w:rPr>
          <w:b/>
        </w:rPr>
        <w:t xml:space="preserve">Comment 5. </w:t>
      </w:r>
      <w:r>
        <w:t>Perform multi-seed repeated experiments and statistical significance testing to establish whether differences are statistically reliable.</w:t>
      </w:r>
    </w:p>
    <w:p>
      <w:pPr>
        <w:spacing w:after="40"/>
      </w:pPr>
      <w:r>
        <w:rPr>
          <w:b/>
        </w:rPr>
        <w:t xml:space="preserve">Response. </w:t>
      </w:r>
      <w:r>
        <w:t>Partially addressed without retraining. Stored paired full-test predictions support exact McNemar tests with Holm correction and stratified bootstrap intervals; these results are now summarized. Multi-seed training was not executed and cannot be inferred from one checkpoint per artifact. The manuscript therefore distinguishes paired test-set evidence from training-seed stability and retains multi-seed evaluation as a limitation and future-work item.</w:t>
      </w:r>
    </w:p>
    <w:p>
      <w:pPr>
        <w:spacing w:after="120"/>
      </w:pPr>
      <w:r>
        <w:rPr>
          <w:b/>
        </w:rPr>
        <w:t xml:space="preserve">Changes in the manuscript. </w:t>
      </w:r>
      <w:r>
        <w:t>Section 3, statistical protocol; Section 4, RQ1; Table 3; Limitations; Conclusion.</w:t>
      </w:r>
    </w:p>
    <w:p>
      <w:pPr>
        <w:spacing w:before="120" w:after="40"/>
      </w:pPr>
      <w:r>
        <w:rPr>
          <w:b/>
        </w:rPr>
        <w:t xml:space="preserve">Comment 6. </w:t>
      </w:r>
      <w:r>
        <w:t>Evaluate external-corpus and cross-dataset generalization, physical replay attacks, streaming performance, and resource consumption on representative edge devices before making deployment claims.</w:t>
      </w:r>
    </w:p>
    <w:p>
      <w:pPr>
        <w:spacing w:after="40"/>
      </w:pPr>
      <w:r>
        <w:rPr>
          <w:b/>
        </w:rPr>
        <w:t xml:space="preserve">Response. </w:t>
      </w:r>
      <w:r>
        <w:t>Not executed; claims were narrowed rather than overstated. The repository has no external-corpus benchmark, physical speaker-microphone replay, causal-streaming measurement, or representative edge-device run. The revision explicitly limits its claim to deployment-oriented offline comparison on one desktop CPU and makes these experiments prerequisites for future deployment validation.</w:t>
      </w:r>
    </w:p>
    <w:p>
      <w:pPr>
        <w:spacing w:after="120"/>
      </w:pPr>
      <w:r>
        <w:rPr>
          <w:b/>
        </w:rPr>
        <w:t xml:space="preserve">Changes in the manuscript. </w:t>
      </w:r>
      <w:r>
        <w:t>Abstract; Related Work; Section 3, efficiency/stress protocols; Practical and Societal Implications; Limitations; Conclusion.</w:t>
      </w:r>
    </w:p>
    <w:p>
      <w:pPr>
        <w:pStyle w:val="Heading2"/>
      </w:pPr>
      <w:r>
        <w:t>Response to Reviewer 2</w:t>
      </w:r>
    </w:p>
    <w:p>
      <w:pPr>
        <w:spacing w:before="120" w:after="40"/>
      </w:pPr>
      <w:r>
        <w:rPr>
          <w:b/>
        </w:rPr>
        <w:t xml:space="preserve">Comment General. </w:t>
      </w:r>
      <w:r>
        <w:t>Maintain natural academic language; exclude nonsensical or unsupported data; complete references; and ensure captions and in-text figure/table references.</w:t>
      </w:r>
    </w:p>
    <w:p>
      <w:pPr>
        <w:spacing w:after="40"/>
      </w:pPr>
      <w:r>
        <w:rPr>
          <w:b/>
        </w:rPr>
        <w:t xml:space="preserve">Response. </w:t>
      </w:r>
      <w:r>
        <w:t>Addressed through an editorial and evidence-consistency pass. Unsupported claims were removed or qualified. Bibliographic entries now consistently include venue, year, pages, volume/issue where applicable, and DOI; arXiv/OpenReview items use persistent identifiers where journal volume/issue or DOI does not apply. All tables remain native editable Word tables, all figures have captions, and their mentions were cross-checked in the text.</w:t>
      </w:r>
    </w:p>
    <w:p>
      <w:pPr>
        <w:spacing w:after="120"/>
      </w:pPr>
      <w:r>
        <w:rPr>
          <w:b/>
        </w:rPr>
        <w:t xml:space="preserve">Changes in the manuscript. </w:t>
      </w:r>
      <w:r>
        <w:t>Entire manuscript; References [1]-[27].</w:t>
      </w:r>
    </w:p>
    <w:p>
      <w:pPr>
        <w:spacing w:before="120" w:after="40"/>
      </w:pPr>
      <w:r>
        <w:rPr>
          <w:b/>
        </w:rPr>
        <w:t xml:space="preserve">Comment 1. </w:t>
      </w:r>
      <w:r>
        <w:t>Strengthen the abstract with empirical or quantitative results.</w:t>
      </w:r>
    </w:p>
    <w:p>
      <w:pPr>
        <w:spacing w:after="40"/>
      </w:pPr>
      <w:r>
        <w:rPr>
          <w:b/>
        </w:rPr>
        <w:t xml:space="preserve">Response. </w:t>
      </w:r>
      <w:r>
        <w:t>Addressed. The abstract now includes full-test F1, ROC-AUC, PR-AUC, specificity, and EER for ShuffleNetV2; MobileNetV3 latency and RTF; the diagnostic subset size and stress coverage; and the exploratory non-dominated set, together with limitations.</w:t>
      </w:r>
    </w:p>
    <w:p>
      <w:pPr>
        <w:spacing w:after="120"/>
      </w:pPr>
      <w:r>
        <w:rPr>
          <w:b/>
        </w:rPr>
        <w:t xml:space="preserve">Changes in the manuscript. </w:t>
      </w:r>
      <w:r>
        <w:t>Abstract.</w:t>
      </w:r>
    </w:p>
    <w:p>
      <w:pPr>
        <w:spacing w:before="120" w:after="40"/>
      </w:pPr>
      <w:r>
        <w:rPr>
          <w:b/>
        </w:rPr>
        <w:t xml:space="preserve">Comment 2. </w:t>
      </w:r>
      <w:r>
        <w:t>Explicitly list the key contributions in bullet-point format.</w:t>
      </w:r>
    </w:p>
    <w:p>
      <w:pPr>
        <w:spacing w:after="40"/>
      </w:pPr>
      <w:r>
        <w:rPr>
          <w:b/>
        </w:rPr>
        <w:t xml:space="preserve">Response. </w:t>
      </w:r>
      <w:r>
        <w:t>Addressed with three concise, evidence-backed bullets.</w:t>
      </w:r>
    </w:p>
    <w:p>
      <w:pPr>
        <w:spacing w:after="120"/>
      </w:pPr>
      <w:r>
        <w:rPr>
          <w:b/>
        </w:rPr>
        <w:t xml:space="preserve">Changes in the manuscript. </w:t>
      </w:r>
      <w:r>
        <w:t>Introduction.</w:t>
      </w:r>
    </w:p>
    <w:p>
      <w:pPr>
        <w:spacing w:before="120" w:after="40"/>
      </w:pPr>
      <w:r>
        <w:rPr>
          <w:b/>
        </w:rPr>
        <w:t xml:space="preserve">Comment 3. </w:t>
      </w:r>
      <w:r>
        <w:t>Incorporate recent relevant studies, especially from 2024, 2025, and 2026 onward.</w:t>
      </w:r>
    </w:p>
    <w:p>
      <w:pPr>
        <w:spacing w:after="40"/>
      </w:pPr>
      <w:r>
        <w:rPr>
          <w:b/>
        </w:rPr>
        <w:t xml:space="preserve">Response. </w:t>
      </w:r>
      <w:r>
        <w:t>Addressed. The revision discusses 2024 cross-domain and calibration work, a 2025 non-semantic representation study, a 2025 physical-replay study, and a 2026 multilingual cross-domain benchmark. Each source is cited only at the claim it supports; the compact narrative replaces the earlier oversized literature table.</w:t>
      </w:r>
    </w:p>
    <w:p>
      <w:pPr>
        <w:spacing w:after="120"/>
      </w:pPr>
      <w:r>
        <w:rPr>
          <w:b/>
        </w:rPr>
        <w:t xml:space="preserve">Changes in the manuscript. </w:t>
      </w:r>
      <w:r>
        <w:t>Related Work; References [13], [16], [17], [25]-[27].</w:t>
      </w:r>
    </w:p>
    <w:p>
      <w:pPr>
        <w:spacing w:before="120" w:after="40"/>
      </w:pPr>
      <w:r>
        <w:rPr>
          <w:b/>
        </w:rPr>
        <w:t xml:space="preserve">Comment 4. </w:t>
      </w:r>
      <w:r>
        <w:t>Include a dedicated Limitations section before the conclusion.</w:t>
      </w:r>
    </w:p>
    <w:p>
      <w:pPr>
        <w:spacing w:after="40"/>
      </w:pPr>
      <w:r>
        <w:rPr>
          <w:b/>
        </w:rPr>
        <w:t xml:space="preserve">Response. </w:t>
      </w:r>
      <w:r>
        <w:t>Addressed by moving and consolidating the limitations into a dedicated section immediately before the Conclusion.</w:t>
      </w:r>
    </w:p>
    <w:p>
      <w:pPr>
        <w:spacing w:after="120"/>
      </w:pPr>
      <w:r>
        <w:rPr>
          <w:b/>
        </w:rPr>
        <w:t xml:space="preserve">Changes in the manuscript. </w:t>
      </w:r>
      <w:r>
        <w:t>Limitations.</w:t>
      </w:r>
    </w:p>
    <w:p>
      <w:pPr>
        <w:spacing w:before="120" w:after="40"/>
      </w:pPr>
      <w:r>
        <w:rPr>
          <w:b/>
        </w:rPr>
        <w:t xml:space="preserve">Comment 5. </w:t>
      </w:r>
      <w:r>
        <w:t>Strictly adhere to the 10-12 page Springer limit, preferably 12 pages.</w:t>
      </w:r>
    </w:p>
    <w:p>
      <w:pPr>
        <w:spacing w:after="40"/>
      </w:pPr>
      <w:r>
        <w:rPr>
          <w:b/>
        </w:rPr>
        <w:t xml:space="preserve">Response. </w:t>
      </w:r>
      <w:r>
        <w:t>Addressed structurally by preserving the A4 single-column Springer layout, using compact editable tables, removing redundant visuals and equations, and avoiding a large appendix. The final pagination was verified in Microsoft Word before delivery.</w:t>
      </w:r>
    </w:p>
    <w:p>
      <w:pPr>
        <w:spacing w:after="120"/>
      </w:pPr>
      <w:r>
        <w:rPr>
          <w:b/>
        </w:rPr>
        <w:t xml:space="preserve">Changes in the manuscript. </w:t>
      </w:r>
      <w:r>
        <w:t>Whole manuscript.</w:t>
      </w:r>
    </w:p>
    <w:p>
      <w:pPr>
        <w:spacing w:before="120" w:after="40"/>
      </w:pPr>
      <w:r>
        <w:rPr>
          <w:b/>
        </w:rPr>
        <w:t xml:space="preserve">Comment 6. </w:t>
      </w:r>
      <w:r>
        <w:t>Ensure all images are high resolution and publication-ready.</w:t>
      </w:r>
    </w:p>
    <w:p>
      <w:pPr>
        <w:spacing w:after="40"/>
      </w:pPr>
      <w:r>
        <w:rPr>
          <w:b/>
        </w:rPr>
        <w:t xml:space="preserve">Response. </w:t>
      </w:r>
      <w:r>
        <w:t>Addressed. The three retained embedded figures use the corresponding repository-native 300-320 dpi sources; redundant figures were removed to meet the page limit without reducing the resolution of the scientific visuals that remain.</w:t>
      </w:r>
    </w:p>
    <w:p>
      <w:pPr>
        <w:spacing w:after="120"/>
      </w:pPr>
      <w:r>
        <w:rPr>
          <w:b/>
        </w:rPr>
        <w:t xml:space="preserve">Changes in the manuscript. </w:t>
      </w:r>
      <w:r>
        <w:t>Figures 1-3.</w:t>
      </w:r>
    </w:p>
    <w:p>
      <w:pPr>
        <w:spacing w:before="120" w:after="40"/>
      </w:pPr>
      <w:r>
        <w:rPr>
          <w:b/>
        </w:rPr>
        <w:t xml:space="preserve">Comment 7. </w:t>
      </w:r>
      <w:r>
        <w:t>Provide all tables in editable format.</w:t>
      </w:r>
    </w:p>
    <w:p>
      <w:pPr>
        <w:spacing w:after="40"/>
      </w:pPr>
      <w:r>
        <w:rPr>
          <w:b/>
        </w:rPr>
        <w:t xml:space="preserve">Response. </w:t>
      </w:r>
      <w:r>
        <w:t>Verified. All five tables are native Word tables; no table is embedded as a raster image.</w:t>
      </w:r>
    </w:p>
    <w:p>
      <w:pPr>
        <w:spacing w:after="120"/>
      </w:pPr>
      <w:r>
        <w:rPr>
          <w:b/>
        </w:rPr>
        <w:t xml:space="preserve">Changes in the manuscript. </w:t>
      </w:r>
      <w:r>
        <w:t>Tables 1-5.</w:t>
      </w:r>
    </w:p>
    <w:p>
      <w:pPr>
        <w:spacing w:before="120" w:after="40"/>
      </w:pPr>
      <w:r>
        <w:rPr>
          <w:b/>
        </w:rPr>
        <w:t xml:space="preserve">Comment 8. </w:t>
      </w:r>
      <w:r>
        <w:t>Format equations with a standard math editor.</w:t>
      </w:r>
    </w:p>
    <w:p>
      <w:pPr>
        <w:spacing w:after="40"/>
      </w:pPr>
      <w:r>
        <w:rPr>
          <w:b/>
        </w:rPr>
        <w:t xml:space="preserve">Response. </w:t>
      </w:r>
      <w:r>
        <w:t>Verified. Every retained equation remains a native editable Office Math (OMML) object; no equation was replaced by an image.</w:t>
      </w:r>
    </w:p>
    <w:p>
      <w:pPr>
        <w:spacing w:after="120"/>
      </w:pPr>
      <w:r>
        <w:rPr>
          <w:b/>
        </w:rPr>
        <w:t xml:space="preserve">Changes in the manuscript. </w:t>
      </w:r>
      <w:r>
        <w:t>Methodology equations.</w:t>
      </w:r>
    </w:p>
    <w:p>
      <w:pPr>
        <w:spacing w:before="120" w:after="40"/>
      </w:pPr>
      <w:r>
        <w:rPr>
          <w:b/>
        </w:rPr>
        <w:t xml:space="preserve">Comment 9. </w:t>
      </w:r>
      <w:r>
        <w:t>Include a dedicated bullet-point contribution list in the Introduction.</w:t>
      </w:r>
    </w:p>
    <w:p>
      <w:pPr>
        <w:spacing w:after="40"/>
      </w:pPr>
      <w:r>
        <w:rPr>
          <w:b/>
        </w:rPr>
        <w:t xml:space="preserve">Response. </w:t>
      </w:r>
      <w:r>
        <w:t>Addressed; this overlaps Comment 2 and is implemented once to avoid repetition.</w:t>
      </w:r>
    </w:p>
    <w:p>
      <w:pPr>
        <w:spacing w:after="120"/>
      </w:pPr>
      <w:r>
        <w:rPr>
          <w:b/>
        </w:rPr>
        <w:t xml:space="preserve">Changes in the manuscript. </w:t>
      </w:r>
      <w:r>
        <w:t>Introduction.</w:t>
      </w:r>
    </w:p>
    <w:p>
      <w:pPr>
        <w:spacing w:before="120" w:after="40"/>
      </w:pPr>
      <w:r>
        <w:rPr>
          <w:b/>
        </w:rPr>
        <w:t xml:space="preserve">Comment 10. </w:t>
      </w:r>
      <w:r>
        <w:t>Add a section on practical implications and societal benefits.</w:t>
      </w:r>
    </w:p>
    <w:p>
      <w:pPr>
        <w:spacing w:after="40"/>
      </w:pPr>
      <w:r>
        <w:rPr>
          <w:b/>
        </w:rPr>
        <w:t xml:space="preserve">Response. </w:t>
      </w:r>
      <w:r>
        <w:t>Addressed with a dedicated section explaining defensive use in voice authentication and media verification, the role of human oversight, and the limits of current offline diagnostic evidence.</w:t>
      </w:r>
    </w:p>
    <w:p>
      <w:pPr>
        <w:spacing w:after="120"/>
      </w:pPr>
      <w:r>
        <w:rPr>
          <w:b/>
        </w:rPr>
        <w:t xml:space="preserve">Changes in the manuscript. </w:t>
      </w:r>
      <w:r>
        <w:t>Practical and Societal Implications.</w:t>
      </w:r>
    </w:p>
    <w:p>
      <w:pPr>
        <w:pStyle w:val="Heading3"/>
      </w:pPr>
      <w:r>
        <w:t>Final Remarks</w:t>
      </w:r>
    </w:p>
    <w:p>
      <w:r>
        <w:t>The revision does not retrain any detector or invent unseen-corpus, physical-replay, streaming, edge-device, or multi-seed results. All added quantitative values are derived from saved full-test score files or existing benchmark artifacts, and all limitations remain explicit.</w:t>
      </w:r>
    </w:p>
    <w:sectPr w:rsidR="000D1EB1" w:rsidRPr="000B798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Cambria">
    <w:panose1 w:val="02040503050406030204"/>
    <w:charset w:val="A3"/>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A3"/>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4F541F"/>
    <w:multiLevelType w:val="multilevel"/>
    <w:tmpl w:val="E488BB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B903713"/>
    <w:multiLevelType w:val="multilevel"/>
    <w:tmpl w:val="2528C5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60654588">
    <w:abstractNumId w:val="8"/>
  </w:num>
  <w:num w:numId="2" w16cid:durableId="390005459">
    <w:abstractNumId w:val="6"/>
  </w:num>
  <w:num w:numId="3" w16cid:durableId="1380279570">
    <w:abstractNumId w:val="5"/>
  </w:num>
  <w:num w:numId="4" w16cid:durableId="785777218">
    <w:abstractNumId w:val="4"/>
  </w:num>
  <w:num w:numId="5" w16cid:durableId="2073961540">
    <w:abstractNumId w:val="7"/>
  </w:num>
  <w:num w:numId="6" w16cid:durableId="23796191">
    <w:abstractNumId w:val="3"/>
  </w:num>
  <w:num w:numId="7" w16cid:durableId="277565820">
    <w:abstractNumId w:val="2"/>
  </w:num>
  <w:num w:numId="8" w16cid:durableId="1546870628">
    <w:abstractNumId w:val="1"/>
  </w:num>
  <w:num w:numId="9" w16cid:durableId="1104302346">
    <w:abstractNumId w:val="0"/>
  </w:num>
  <w:num w:numId="10" w16cid:durableId="1654333813">
    <w:abstractNumId w:val="9"/>
  </w:num>
  <w:num w:numId="11" w16cid:durableId="76134208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7982"/>
    <w:rsid w:val="000D1EB1"/>
    <w:rsid w:val="0015074B"/>
    <w:rsid w:val="0029639D"/>
    <w:rsid w:val="00326F90"/>
    <w:rsid w:val="00431D8E"/>
    <w:rsid w:val="007137CD"/>
    <w:rsid w:val="00AA1D8D"/>
    <w:rsid w:val="00B47730"/>
    <w:rsid w:val="00C5219C"/>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B8F83A"/>
  <w14:defaultImageDpi w14:val="300"/>
  <w15:docId w15:val="{F45924B4-D5DC-407A-9BF8-4EFF59D4D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431D8E"/>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422</Words>
  <Characters>2411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Nguyến Quốc  Hùng</cp:lastModifiedBy>
  <cp:revision>4</cp:revision>
  <dcterms:created xsi:type="dcterms:W3CDTF">2013-12-23T23:15:00Z</dcterms:created>
  <dcterms:modified xsi:type="dcterms:W3CDTF">2025-09-23T13:32:00Z</dcterms:modified>
  <cp:category/>
</cp:coreProperties>
</file>