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widowControl w:val="1"/>
      </w:pPr>
      <w:r>
        <w:rPr>
          <w:rFonts w:ascii="Aptos" w:hAnsi="Aptos" w:eastAsia="Aptos"/>
          <w:b/>
          <w:i w:val="0"/>
          <w:color w:val="000000"/>
          <w:sz w:val="44"/>
        </w:rPr>
        <w:t>PHẦN 5 - DỰ KIẾN TÀI CHÍNH</w:t>
      </w:r>
    </w:p>
    <w:p>
      <w:pPr>
        <w:jc w:val="center"/>
        <w:widowControl w:val="1"/>
      </w:pPr>
      <w:r>
        <w:rPr>
          <w:rFonts w:ascii="Aptos" w:hAnsi="Aptos" w:eastAsia="Aptos"/>
          <w:b w:val="0"/>
          <w:i w:val="0"/>
          <w:color w:val="555555"/>
          <w:sz w:val="23"/>
        </w:rPr>
        <w:t>Dự án Champ Mạnh Chat | Kế hoạch tài chính 7 năm</w:t>
      </w:r>
    </w:p>
    <w:p>
      <w:pPr>
        <w:spacing w:line="274" w:lineRule="auto" w:after="180"/>
        <w:jc w:val="both"/>
        <w:widowControl w:val="1"/>
      </w:pPr>
      <w:r>
        <w:rPr>
          <w:rFonts w:ascii="Aptos" w:hAnsi="Aptos" w:eastAsia="Aptos"/>
          <w:b w:val="0"/>
          <w:i w:val="0"/>
          <w:color w:val="1F2937"/>
          <w:sz w:val="21"/>
        </w:rPr>
        <w:t>Phần tài chính này sử dụng trực tiếp các số liệu, công thức và kết quả đã lưu trong file BÁO CÁO TÀI CHÍNH SUZ2026 (4).xlsx. Không bổ sung giả định tăng trưởng mới. Cách trình bày tách riêng số đầu vào, kết quả tính toán và điều kiện thực thi để hội đồng có thể kiểm tra từng con số.</w:t>
      </w:r>
    </w:p>
    <w:p>
      <w:pPr>
        <w:pStyle w:val="Heading2"/>
        <w:widowControl w:val="1"/>
      </w:pPr>
      <w:r>
        <w:t>5.1 Tóm tắt điều hành</w:t>
      </w:r>
    </w:p>
    <w:tbl>
      <w:tblPr>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2721"/>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7"/>
              </w:rPr>
              <w:t>Chỉ tiêu</w:t>
            </w:r>
          </w:p>
        </w:tc>
        <w:tc>
          <w:tcPr>
            <w:tcW w:type="dxa" w:w="3005"/>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7"/>
              </w:rPr>
              <w:t>Kết quả</w:t>
            </w:r>
          </w:p>
        </w:tc>
        <w:tc>
          <w:tcPr>
            <w:tcW w:type="dxa" w:w="3969"/>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7"/>
              </w:rPr>
              <w:t>Cách hiểu thực tế</w:t>
            </w:r>
          </w:p>
        </w:tc>
      </w:tr>
      <w:tr>
        <w:trPr>
          <w:cantSplit/>
        </w:trPr>
        <w:tc>
          <w:tcPr>
            <w:tcW w:type="dxa" w:w="272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Vốn đầu tư ban đầu</w:t>
            </w:r>
          </w:p>
        </w:tc>
        <w:tc>
          <w:tcPr>
            <w:tcW w:type="dxa" w:w="3005"/>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2.590 triệu đồng</w:t>
            </w:r>
          </w:p>
        </w:tc>
        <w:tc>
          <w:tcPr>
            <w:tcW w:type="dxa" w:w="3969"/>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Chi phí xây dựng tài sản và triển khai ban đầu</w:t>
            </w:r>
          </w:p>
        </w:tc>
      </w:tr>
      <w:tr>
        <w:trPr>
          <w:cantSplit/>
        </w:trPr>
        <w:tc>
          <w:tcPr>
            <w:tcW w:type="dxa" w:w="272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Cơ cấu vốn trong mô hình</w:t>
            </w:r>
          </w:p>
        </w:tc>
        <w:tc>
          <w:tcPr>
            <w:tcW w:type="dxa" w:w="3005"/>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1.554 triệu vốn chủ; 1.036 triệu vốn vay</w:t>
            </w:r>
          </w:p>
        </w:tc>
        <w:tc>
          <w:tcPr>
            <w:tcW w:type="dxa" w:w="3969"/>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60% vốn chủ - 40% vốn vay</w:t>
            </w:r>
          </w:p>
        </w:tc>
      </w:tr>
      <w:tr>
        <w:trPr>
          <w:cantSplit/>
        </w:trPr>
        <w:tc>
          <w:tcPr>
            <w:tcW w:type="dxa" w:w="272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Doanh thu vận hành</w:t>
            </w:r>
          </w:p>
        </w:tc>
        <w:tc>
          <w:tcPr>
            <w:tcW w:type="dxa" w:w="3005"/>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592 triệu Năm 1; 25.520 triệu Năm 7</w:t>
            </w:r>
          </w:p>
        </w:tc>
        <w:tc>
          <w:tcPr>
            <w:tcW w:type="dxa" w:w="3969"/>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Không tính thu hồi vốn lưu động là doanh thu</w:t>
            </w:r>
          </w:p>
        </w:tc>
      </w:tr>
      <w:tr>
        <w:trPr>
          <w:cantSplit/>
        </w:trPr>
        <w:tc>
          <w:tcPr>
            <w:tcW w:type="dxa" w:w="272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Hòa vốn EBITDA</w:t>
            </w:r>
          </w:p>
        </w:tc>
        <w:tc>
          <w:tcPr>
            <w:tcW w:type="dxa" w:w="3005"/>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Năm 3</w:t>
            </w:r>
          </w:p>
        </w:tc>
        <w:tc>
          <w:tcPr>
            <w:tcW w:type="dxa" w:w="3969"/>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EBITDA 114 triệu; biên 3,9%</w:t>
            </w:r>
          </w:p>
        </w:tc>
      </w:tr>
      <w:tr>
        <w:trPr>
          <w:cantSplit/>
        </w:trPr>
        <w:tc>
          <w:tcPr>
            <w:tcW w:type="dxa" w:w="272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Lợi nhuận ròng dương</w:t>
            </w:r>
          </w:p>
        </w:tc>
        <w:tc>
          <w:tcPr>
            <w:tcW w:type="dxa" w:w="3005"/>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Năm 4</w:t>
            </w:r>
          </w:p>
        </w:tc>
        <w:tc>
          <w:tcPr>
            <w:tcW w:type="dxa" w:w="3969"/>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704 triệu đồng theo báo cáo thu nhập</w:t>
            </w:r>
          </w:p>
        </w:tc>
      </w:tr>
      <w:tr>
        <w:trPr>
          <w:cantSplit/>
        </w:trPr>
        <w:tc>
          <w:tcPr>
            <w:tcW w:type="dxa" w:w="272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Hoàn vốn không chiết khấu</w:t>
            </w:r>
          </w:p>
        </w:tc>
        <w:tc>
          <w:tcPr>
            <w:tcW w:type="dxa" w:w="3005"/>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5,16 năm</w:t>
            </w:r>
          </w:p>
        </w:tc>
        <w:tc>
          <w:tcPr>
            <w:tcW w:type="dxa" w:w="3969"/>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Dòng tiền vốn chủ lũy kế dương trong Năm 6</w:t>
            </w:r>
          </w:p>
        </w:tc>
      </w:tr>
      <w:tr>
        <w:trPr>
          <w:cantSplit/>
        </w:trPr>
        <w:tc>
          <w:tcPr>
            <w:tcW w:type="dxa" w:w="272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Hoàn vốn chiết khấu</w:t>
            </w:r>
          </w:p>
        </w:tc>
        <w:tc>
          <w:tcPr>
            <w:tcW w:type="dxa" w:w="3005"/>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Khoảng 5,70 năm</w:t>
            </w:r>
          </w:p>
        </w:tc>
        <w:tc>
          <w:tcPr>
            <w:tcW w:type="dxa" w:w="3969"/>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Tính lại từ dòng NCF EPV đã chiết khấu trong Excel</w:t>
            </w:r>
          </w:p>
        </w:tc>
      </w:tr>
      <w:tr>
        <w:trPr>
          <w:cantSplit/>
        </w:trPr>
        <w:tc>
          <w:tcPr>
            <w:tcW w:type="dxa" w:w="272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NPV / IRR / MIRR</w:t>
            </w:r>
          </w:p>
        </w:tc>
        <w:tc>
          <w:tcPr>
            <w:tcW w:type="dxa" w:w="3005"/>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5.110 triệu / 34,95% / 30,02%</w:t>
            </w:r>
          </w:p>
        </w:tc>
        <w:tc>
          <w:tcPr>
            <w:tcW w:type="dxa" w:w="3969"/>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So với WACC 14,32%</w:t>
            </w:r>
          </w:p>
        </w:tc>
      </w:tr>
      <w:tr>
        <w:trPr>
          <w:cantSplit/>
        </w:trPr>
        <w:tc>
          <w:tcPr>
            <w:tcW w:type="dxa" w:w="272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Khoảng vốn vận hành phải khóa thêm</w:t>
            </w:r>
          </w:p>
        </w:tc>
        <w:tc>
          <w:tcPr>
            <w:tcW w:type="dxa" w:w="3005"/>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2.402 triệu đồng</w:t>
            </w:r>
          </w:p>
        </w:tc>
        <w:tc>
          <w:tcPr>
            <w:tcW w:type="dxa" w:w="3969"/>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Để bù dòng tiền âm đến cuối Năm 3</w:t>
            </w:r>
          </w:p>
        </w:tc>
      </w:tr>
    </w:tbl>
    <w:p>
      <w:pPr>
        <w:spacing w:after="20"/>
        <w:widowControl w:val="1"/>
      </w:pPr>
    </w:p>
    <w:p>
      <w:pPr>
        <w:spacing w:line="274" w:lineRule="auto" w:after="100"/>
        <w:jc w:val="both"/>
        <w:widowControl w:val="1"/>
      </w:pPr>
      <w:r>
        <w:rPr>
          <w:rFonts w:ascii="Aptos" w:hAnsi="Aptos" w:eastAsia="Aptos"/>
          <w:b/>
          <w:i w:val="0"/>
          <w:color w:val="1F2937"/>
          <w:sz w:val="21"/>
        </w:rPr>
        <w:t>Kết luận ngắn:</w:t>
      </w:r>
      <w:r>
        <w:rPr>
          <w:rFonts w:ascii="Aptos" w:hAnsi="Aptos" w:eastAsia="Aptos"/>
          <w:b w:val="0"/>
          <w:i w:val="0"/>
          <w:color w:val="1F2937"/>
          <w:sz w:val="21"/>
        </w:rPr>
        <w:t xml:space="preserve"> mô hình có khả năng tạo lợi nhuận và giá trị nếu đạt đủ quy mô doanh nghiệp đối tác, nhưng 2.590 triệu đồng vốn đầu tư ban đầu chưa phải toàn bộ số tiền cần huy động. Dòng tiền hoạt động âm trong ba năm đầu làm phát sinh nhu cầu vốn bổ sung khoảng 2.402 triệu đồng. Vì vậy, điều kiện sống còn không chỉ là đạt doanh thu mà còn là khóa đủ runway trước khi triển khai toàn bộ chi phí ứng dụng và vận hành.</w:t>
      </w:r>
    </w:p>
    <w:p>
      <w:pPr>
        <w:pStyle w:val="Heading2"/>
        <w:widowControl w:val="1"/>
      </w:pPr>
      <w:r>
        <w:t>5.2 Vốn đầu tư ban đầu và cấu trúc tài trợ</w:t>
      </w:r>
    </w:p>
    <w:tbl>
      <w:tblPr>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4649"/>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8"/>
              </w:rPr>
              <w:t>Hạng mục</w:t>
            </w:r>
          </w:p>
        </w:tc>
        <w:tc>
          <w:tcPr>
            <w:tcW w:type="dxa" w:w="2268"/>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8"/>
              </w:rPr>
              <w:t>Triệu đồng</w:t>
            </w:r>
          </w:p>
        </w:tc>
        <w:tc>
          <w:tcPr>
            <w:tcW w:type="dxa" w:w="1984"/>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8"/>
              </w:rPr>
              <w:t>Tỷ trọng</w:t>
            </w:r>
          </w:p>
        </w:tc>
      </w:tr>
      <w:tr>
        <w:trPr>
          <w:cantSplit/>
        </w:trPr>
        <w:tc>
          <w:tcPr>
            <w:tcW w:type="dxa" w:w="4649"/>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Thành lập doanh nghiệp</w:t>
            </w:r>
          </w:p>
        </w:tc>
        <w:tc>
          <w:tcPr>
            <w:tcW w:type="dxa" w:w="2268"/>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10</w:t>
            </w:r>
          </w:p>
        </w:tc>
        <w:tc>
          <w:tcPr>
            <w:tcW w:type="dxa" w:w="198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0,4%</w:t>
            </w:r>
          </w:p>
        </w:tc>
      </w:tr>
      <w:tr>
        <w:trPr>
          <w:cantSplit/>
        </w:trPr>
        <w:tc>
          <w:tcPr>
            <w:tcW w:type="dxa" w:w="4649"/>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Phát triển ứng dụng</w:t>
            </w:r>
          </w:p>
        </w:tc>
        <w:tc>
          <w:tcPr>
            <w:tcW w:type="dxa" w:w="2268"/>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1.800</w:t>
            </w:r>
          </w:p>
        </w:tc>
        <w:tc>
          <w:tcPr>
            <w:tcW w:type="dxa" w:w="198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69,5%</w:t>
            </w:r>
          </w:p>
        </w:tc>
      </w:tr>
      <w:tr>
        <w:trPr>
          <w:cantSplit/>
        </w:trPr>
        <w:tc>
          <w:tcPr>
            <w:tcW w:type="dxa" w:w="4649"/>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Vật tư và thiết bị</w:t>
            </w:r>
          </w:p>
        </w:tc>
        <w:tc>
          <w:tcPr>
            <w:tcW w:type="dxa" w:w="2268"/>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180</w:t>
            </w:r>
          </w:p>
        </w:tc>
        <w:tc>
          <w:tcPr>
            <w:tcW w:type="dxa" w:w="198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6,9%</w:t>
            </w:r>
          </w:p>
        </w:tc>
      </w:tr>
      <w:tr>
        <w:trPr>
          <w:cantSplit/>
        </w:trPr>
        <w:tc>
          <w:tcPr>
            <w:tcW w:type="dxa" w:w="4649"/>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Ra mắt và triển khai</w:t>
            </w:r>
          </w:p>
        </w:tc>
        <w:tc>
          <w:tcPr>
            <w:tcW w:type="dxa" w:w="2268"/>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600</w:t>
            </w:r>
          </w:p>
        </w:tc>
        <w:tc>
          <w:tcPr>
            <w:tcW w:type="dxa" w:w="198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23,2%</w:t>
            </w:r>
          </w:p>
        </w:tc>
      </w:tr>
      <w:tr>
        <w:trPr>
          <w:cantSplit/>
        </w:trPr>
        <w:tc>
          <w:tcPr>
            <w:tcW w:type="dxa" w:w="4649"/>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Tổng</w:t>
            </w:r>
          </w:p>
        </w:tc>
        <w:tc>
          <w:tcPr>
            <w:tcW w:type="dxa" w:w="2268"/>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2.590</w:t>
            </w:r>
          </w:p>
        </w:tc>
        <w:tc>
          <w:tcPr>
            <w:tcW w:type="dxa" w:w="198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100,0%</w:t>
            </w:r>
          </w:p>
        </w:tc>
      </w:tr>
    </w:tbl>
    <w:p>
      <w:pPr>
        <w:spacing w:after="20"/>
        <w:widowControl w:val="1"/>
      </w:pPr>
    </w:p>
    <w:p>
      <w:pPr>
        <w:keepNext/>
        <w:jc w:val="center"/>
        <w:widowControl w:val="1"/>
      </w:pPr>
      <w:r>
        <w:drawing>
          <wp:inline xmlns:a="http://schemas.openxmlformats.org/drawingml/2006/main" xmlns:pic="http://schemas.openxmlformats.org/drawingml/2006/picture">
            <wp:extent cx="5760000" cy="2880000"/>
            <wp:docPr id="1" name="Picture 1"/>
            <wp:cNvGraphicFramePr>
              <a:graphicFrameLocks noChangeAspect="1"/>
            </wp:cNvGraphicFramePr>
            <a:graphic>
              <a:graphicData uri="http://schemas.openxmlformats.org/drawingml/2006/picture">
                <pic:pic>
                  <pic:nvPicPr>
                    <pic:cNvPr id="0" name="01_capex.png"/>
                    <pic:cNvPicPr/>
                  </pic:nvPicPr>
                  <pic:blipFill>
                    <a:blip r:embed="rId9"/>
                    <a:stretch>
                      <a:fillRect/>
                    </a:stretch>
                  </pic:blipFill>
                  <pic:spPr>
                    <a:xfrm>
                      <a:off x="0" y="0"/>
                      <a:ext cx="5760000" cy="2880000"/>
                    </a:xfrm>
                    <a:prstGeom prst="rect"/>
                  </pic:spPr>
                </pic:pic>
              </a:graphicData>
            </a:graphic>
          </wp:inline>
        </w:drawing>
      </w:r>
    </w:p>
    <w:p>
      <w:pPr>
        <w:spacing w:after="120"/>
        <w:jc w:val="center"/>
        <w:widowControl w:val="1"/>
      </w:pPr>
      <w:r>
        <w:rPr>
          <w:rFonts w:ascii="Aptos" w:hAnsi="Aptos" w:eastAsia="Aptos"/>
          <w:b w:val="0"/>
          <w:i/>
          <w:color w:val="555555"/>
          <w:sz w:val="17"/>
        </w:rPr>
        <w:t>Hình 1. Phân bổ vốn đầu tư ban đầu theo file tài chính</w:t>
      </w:r>
    </w:p>
    <w:p>
      <w:pPr>
        <w:spacing w:line="274" w:lineRule="auto" w:after="100"/>
        <w:jc w:val="both"/>
        <w:widowControl w:val="1"/>
      </w:pPr>
      <w:r>
        <w:rPr>
          <w:rFonts w:ascii="Aptos" w:hAnsi="Aptos" w:eastAsia="Aptos"/>
          <w:b w:val="0"/>
          <w:i w:val="0"/>
          <w:color w:val="1F2937"/>
          <w:sz w:val="21"/>
        </w:rPr>
        <w:t>Chi phí phát triển ứng dụng chiếm 69,5% tổng đầu tư. Đây là khoản chi lớn nhất và cũng là khoản có thể kiểm soát theo milestone. Cách triển khai thực tế là chia nghiệm thu thành MVP, dữ liệu và cảnh báo, giao dịch - uy tín đối tác, sau đó mới tích hợp ngân hàng/bảo hiểm. Không nên thanh toán toàn bộ 1.800 triệu đồng trước khi có sản phẩm chạy thử và biên bản nghiệm thu từng giai đoạn.</w:t>
      </w:r>
    </w:p>
    <w:tbl>
      <w:tblPr>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2438"/>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8"/>
              </w:rPr>
              <w:t>Nguồn</w:t>
            </w:r>
          </w:p>
        </w:tc>
        <w:tc>
          <w:tcPr>
            <w:tcW w:type="dxa" w:w="1928"/>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8"/>
              </w:rPr>
              <w:t>Triệu đồng</w:t>
            </w:r>
          </w:p>
        </w:tc>
        <w:tc>
          <w:tcPr>
            <w:tcW w:type="dxa" w:w="1701"/>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8"/>
              </w:rPr>
              <w:t>Tỷ trọng</w:t>
            </w:r>
          </w:p>
        </w:tc>
        <w:tc>
          <w:tcPr>
            <w:tcW w:type="dxa" w:w="3402"/>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8"/>
              </w:rPr>
              <w:t>Điều kiện</w:t>
            </w:r>
          </w:p>
        </w:tc>
      </w:tr>
      <w:tr>
        <w:trPr>
          <w:cantSplit/>
        </w:trPr>
        <w:tc>
          <w:tcPr>
            <w:tcW w:type="dxa" w:w="2438"/>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Vốn chủ sở hữu</w:t>
            </w:r>
          </w:p>
        </w:tc>
        <w:tc>
          <w:tcPr>
            <w:tcW w:type="dxa" w:w="1928"/>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1.554</w:t>
            </w:r>
          </w:p>
        </w:tc>
        <w:tc>
          <w:tcPr>
            <w:tcW w:type="dxa" w:w="170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60,0%</w:t>
            </w:r>
          </w:p>
        </w:tc>
        <w:tc>
          <w:tcPr>
            <w:tcW w:type="dxa" w:w="3402"/>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Chịu phần rủi ro ban đầu</w:t>
            </w:r>
          </w:p>
        </w:tc>
      </w:tr>
      <w:tr>
        <w:trPr>
          <w:cantSplit/>
        </w:trPr>
        <w:tc>
          <w:tcPr>
            <w:tcW w:type="dxa" w:w="2438"/>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Vốn vay</w:t>
            </w:r>
          </w:p>
        </w:tc>
        <w:tc>
          <w:tcPr>
            <w:tcW w:type="dxa" w:w="1928"/>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1.036</w:t>
            </w:r>
          </w:p>
        </w:tc>
        <w:tc>
          <w:tcPr>
            <w:tcW w:type="dxa" w:w="170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40,0%</w:t>
            </w:r>
          </w:p>
        </w:tc>
        <w:tc>
          <w:tcPr>
            <w:tcW w:type="dxa" w:w="3402"/>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Lãi suất 11,0%; thời hạn 5 năm</w:t>
            </w:r>
          </w:p>
        </w:tc>
      </w:tr>
      <w:tr>
        <w:trPr>
          <w:cantSplit/>
        </w:trPr>
        <w:tc>
          <w:tcPr>
            <w:tcW w:type="dxa" w:w="2438"/>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Tổng</w:t>
            </w:r>
          </w:p>
        </w:tc>
        <w:tc>
          <w:tcPr>
            <w:tcW w:type="dxa" w:w="1928"/>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2.590</w:t>
            </w:r>
          </w:p>
        </w:tc>
        <w:tc>
          <w:tcPr>
            <w:tcW w:type="dxa" w:w="170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100,0%</w:t>
            </w:r>
          </w:p>
        </w:tc>
        <w:tc>
          <w:tcPr>
            <w:tcW w:type="dxa" w:w="3402"/>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WACC 14,32%</w:t>
            </w:r>
          </w:p>
        </w:tc>
      </w:tr>
    </w:tbl>
    <w:p>
      <w:pPr>
        <w:spacing w:after="20"/>
        <w:widowControl w:val="1"/>
      </w:pPr>
    </w:p>
    <w:p>
      <w:pPr>
        <w:keepNext/>
        <w:jc w:val="center"/>
        <w:widowControl w:val="1"/>
      </w:pPr>
      <w:r>
        <w:drawing>
          <wp:inline xmlns:a="http://schemas.openxmlformats.org/drawingml/2006/main" xmlns:pic="http://schemas.openxmlformats.org/drawingml/2006/picture">
            <wp:extent cx="5760000" cy="2880000"/>
            <wp:docPr id="2" name="Picture 2"/>
            <wp:cNvGraphicFramePr>
              <a:graphicFrameLocks noChangeAspect="1"/>
            </wp:cNvGraphicFramePr>
            <a:graphic>
              <a:graphicData uri="http://schemas.openxmlformats.org/drawingml/2006/picture">
                <pic:pic>
                  <pic:nvPicPr>
                    <pic:cNvPr id="0" name="02_capital_mix.png"/>
                    <pic:cNvPicPr/>
                  </pic:nvPicPr>
                  <pic:blipFill>
                    <a:blip r:embed="rId10"/>
                    <a:stretch>
                      <a:fillRect/>
                    </a:stretch>
                  </pic:blipFill>
                  <pic:spPr>
                    <a:xfrm>
                      <a:off x="0" y="0"/>
                      <a:ext cx="5760000" cy="2880000"/>
                    </a:xfrm>
                    <a:prstGeom prst="rect"/>
                  </pic:spPr>
                </pic:pic>
              </a:graphicData>
            </a:graphic>
          </wp:inline>
        </w:drawing>
      </w:r>
    </w:p>
    <w:p>
      <w:pPr>
        <w:spacing w:after="120"/>
        <w:jc w:val="center"/>
        <w:widowControl w:val="1"/>
      </w:pPr>
      <w:r>
        <w:rPr>
          <w:rFonts w:ascii="Aptos" w:hAnsi="Aptos" w:eastAsia="Aptos"/>
          <w:b w:val="0"/>
          <w:i/>
          <w:color w:val="555555"/>
          <w:sz w:val="17"/>
        </w:rPr>
        <w:t>Hình 2. Cơ cấu vốn chủ và vốn vay trong mô hình</w:t>
      </w:r>
    </w:p>
    <w:p>
      <w:pPr>
        <w:pStyle w:val="Heading3"/>
        <w:widowControl w:val="1"/>
      </w:pPr>
      <w:r>
        <w:t>Khoảng vốn phải chuẩn bị ngoài 2.590 triệu đồng</w:t>
      </w:r>
    </w:p>
    <w:tbl>
      <w:tblPr>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3969"/>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8"/>
              </w:rPr>
              <w:t>Cấu phần</w:t>
            </w:r>
          </w:p>
        </w:tc>
        <w:tc>
          <w:tcPr>
            <w:tcW w:type="dxa" w:w="2098"/>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8"/>
              </w:rPr>
              <w:t>Triệu đồng</w:t>
            </w:r>
          </w:p>
        </w:tc>
        <w:tc>
          <w:tcPr>
            <w:tcW w:type="dxa" w:w="3515"/>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8"/>
              </w:rPr>
              <w:t>Ý nghĩa</w:t>
            </w:r>
          </w:p>
        </w:tc>
      </w:tr>
      <w:tr>
        <w:trPr>
          <w:cantSplit/>
        </w:trPr>
        <w:tc>
          <w:tcPr>
            <w:tcW w:type="dxa" w:w="3969"/>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Vốn đầu tư tài sản ban đầu</w:t>
            </w:r>
          </w:p>
        </w:tc>
        <w:tc>
          <w:tcPr>
            <w:tcW w:type="dxa" w:w="2098"/>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2.590</w:t>
            </w:r>
          </w:p>
        </w:tc>
        <w:tc>
          <w:tcPr>
            <w:tcW w:type="dxa" w:w="3515"/>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Ứng dụng, thiết bị, triển khai, thành lập</w:t>
            </w:r>
          </w:p>
        </w:tc>
      </w:tr>
      <w:tr>
        <w:trPr>
          <w:cantSplit/>
        </w:trPr>
        <w:tc>
          <w:tcPr>
            <w:tcW w:type="dxa" w:w="3969"/>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Dòng tiền hoạt động phải bù đến cuối Năm 3</w:t>
            </w:r>
          </w:p>
        </w:tc>
        <w:tc>
          <w:tcPr>
            <w:tcW w:type="dxa" w:w="2098"/>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2.402</w:t>
            </w:r>
          </w:p>
        </w:tc>
        <w:tc>
          <w:tcPr>
            <w:tcW w:type="dxa" w:w="3515"/>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Chênh lệch âm sau doanh thu và trả nợ</w:t>
            </w:r>
          </w:p>
        </w:tc>
      </w:tr>
      <w:tr>
        <w:trPr>
          <w:cantSplit/>
        </w:trPr>
        <w:tc>
          <w:tcPr>
            <w:tcW w:type="dxa" w:w="3969"/>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Tổng nguồn vốn tối thiểu cần có khả năng tiếp cận</w:t>
            </w:r>
          </w:p>
        </w:tc>
        <w:tc>
          <w:tcPr>
            <w:tcW w:type="dxa" w:w="2098"/>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4.992</w:t>
            </w:r>
          </w:p>
        </w:tc>
        <w:tc>
          <w:tcPr>
            <w:tcW w:type="dxa" w:w="3515"/>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Tương đương vốn đầu tư cộng buffer vận hành</w:t>
            </w:r>
          </w:p>
        </w:tc>
      </w:tr>
    </w:tbl>
    <w:p>
      <w:pPr>
        <w:spacing w:after="20"/>
        <w:widowControl w:val="1"/>
      </w:pPr>
    </w:p>
    <w:p>
      <w:pPr>
        <w:spacing w:line="274" w:lineRule="auto" w:after="100"/>
        <w:jc w:val="both"/>
        <w:widowControl w:val="1"/>
      </w:pPr>
      <w:r>
        <w:rPr>
          <w:rFonts w:ascii="Aptos" w:hAnsi="Aptos" w:eastAsia="Aptos"/>
          <w:b w:val="0"/>
          <w:i w:val="0"/>
          <w:color w:val="1F2937"/>
          <w:sz w:val="21"/>
        </w:rPr>
        <w:t>Đây là điểm quyết định tính khả thi. Nếu chỉ huy động 2.590 triệu đồng rồi sử dụng hết cho tài sản ban đầu, dự án sẽ thiếu tiền để trả nhân sự, duy trì hạ tầng và trả nợ trong ba năm đầu. Khoản vốn vận hành 2.402 triệu đồng phải được cam kết theo tranche, SAFE, grant, vốn đối tác chiến lược hoặc khoản vay có thời gian ân hạn phù hợp trước khi ký toàn bộ hợp đồng phát triển.</w:t>
      </w:r>
    </w:p>
    <w:p>
      <w:pPr>
        <w:pStyle w:val="Heading2"/>
        <w:widowControl w:val="1"/>
      </w:pPr>
      <w:r>
        <w:t>5.3 Doanh thu hình thành từ hoạt động nào</w:t>
      </w:r>
    </w:p>
    <w:tbl>
      <w:tblPr>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2381"/>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7"/>
              </w:rPr>
              <w:t>Nguồn doanh thu</w:t>
            </w:r>
          </w:p>
        </w:tc>
        <w:tc>
          <w:tcPr>
            <w:tcW w:type="dxa" w:w="2324"/>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7"/>
              </w:rPr>
              <w:t>Mức giá/tỷ lệ</w:t>
            </w:r>
          </w:p>
        </w:tc>
        <w:tc>
          <w:tcPr>
            <w:tcW w:type="dxa" w:w="2891"/>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7"/>
              </w:rPr>
              <w:t>Cơ sở khối lượng</w:t>
            </w:r>
          </w:p>
        </w:tc>
        <w:tc>
          <w:tcPr>
            <w:tcW w:type="dxa" w:w="2041"/>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7"/>
              </w:rPr>
              <w:t>Tính chất</w:t>
            </w:r>
          </w:p>
        </w:tc>
      </w:tr>
      <w:tr>
        <w:trPr>
          <w:cantSplit/>
        </w:trPr>
        <w:tc>
          <w:tcPr>
            <w:tcW w:type="dxa" w:w="238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Phí sử dụng app</w:t>
            </w:r>
          </w:p>
        </w:tc>
        <w:tc>
          <w:tcPr>
            <w:tcW w:type="dxa" w:w="232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5 triệu đồng/DN/tháng</w:t>
            </w:r>
          </w:p>
        </w:tc>
        <w:tc>
          <w:tcPr>
            <w:tcW w:type="dxa" w:w="289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8 DN Năm 1 lên 220 DN Năm 7</w:t>
            </w:r>
          </w:p>
        </w:tc>
        <w:tc>
          <w:tcPr>
            <w:tcW w:type="dxa" w:w="204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Doanh thu định kỳ</w:t>
            </w:r>
          </w:p>
        </w:tc>
      </w:tr>
      <w:tr>
        <w:trPr>
          <w:cantSplit/>
        </w:trPr>
        <w:tc>
          <w:tcPr>
            <w:tcW w:type="dxa" w:w="238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Hoa hồng DN và ngân hàng</w:t>
            </w:r>
          </w:p>
        </w:tc>
        <w:tc>
          <w:tcPr>
            <w:tcW w:type="dxa" w:w="232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5% giao dịch trả trước; công thức Excel dùng 6% cho trả sau</w:t>
            </w:r>
          </w:p>
        </w:tc>
        <w:tc>
          <w:tcPr>
            <w:tcW w:type="dxa" w:w="289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Chỉ tính trên giao dịch đi qua nền tảng</w:t>
            </w:r>
          </w:p>
        </w:tc>
        <w:tc>
          <w:tcPr>
            <w:tcW w:type="dxa" w:w="204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Doanh thu theo giao dịch</w:t>
            </w:r>
          </w:p>
        </w:tc>
      </w:tr>
      <w:tr>
        <w:trPr>
          <w:cantSplit/>
        </w:trPr>
        <w:tc>
          <w:tcPr>
            <w:tcW w:type="dxa" w:w="238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Hoa hồng bảo hiểm</w:t>
            </w:r>
          </w:p>
        </w:tc>
        <w:tc>
          <w:tcPr>
            <w:tcW w:type="dxa" w:w="232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Chưa ghi nhận</w:t>
            </w:r>
          </w:p>
        </w:tc>
        <w:tc>
          <w:tcPr>
            <w:tcW w:type="dxa" w:w="289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Các ô doanh thu đang để trống</w:t>
            </w:r>
          </w:p>
        </w:tc>
        <w:tc>
          <w:tcPr>
            <w:tcW w:type="dxa" w:w="204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Không đưa vào kết quả cơ sở</w:t>
            </w:r>
          </w:p>
        </w:tc>
      </w:tr>
    </w:tbl>
    <w:p>
      <w:pPr>
        <w:spacing w:after="20"/>
        <w:widowControl w:val="1"/>
      </w:pPr>
    </w:p>
    <w:tbl>
      <w:tblPr>
        <w:tblW w:type="auto" w:w="0"/>
        <w:jc w:val="center"/>
        <w:tblLayout w:type="fixed"/>
        <w:tblLook w:firstColumn="1" w:firstRow="1" w:lastColumn="0" w:lastRow="0" w:noHBand="0" w:noVBand="1" w:val="04A0"/>
      </w:tblPr>
      <w:tblGrid>
        <w:gridCol w:w="1457"/>
        <w:gridCol w:w="1457"/>
        <w:gridCol w:w="1457"/>
        <w:gridCol w:w="1457"/>
        <w:gridCol w:w="1457"/>
        <w:gridCol w:w="1457"/>
        <w:gridCol w:w="1457"/>
      </w:tblGrid>
      <w:tr>
        <w:trPr>
          <w:tblHeader w:val="true"/>
          <w:cantSplit/>
        </w:trPr>
        <w:tc>
          <w:tcPr>
            <w:tcW w:type="dxa" w:w="1020"/>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5"/>
              </w:rPr>
              <w:t>Năm</w:t>
            </w:r>
          </w:p>
        </w:tc>
        <w:tc>
          <w:tcPr>
            <w:tcW w:type="dxa" w:w="850"/>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5"/>
              </w:rPr>
              <w:t>DN</w:t>
            </w:r>
          </w:p>
        </w:tc>
        <w:tc>
          <w:tcPr>
            <w:tcW w:type="dxa" w:w="1361"/>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5"/>
              </w:rPr>
              <w:t>Phí app</w:t>
            </w:r>
          </w:p>
        </w:tc>
        <w:tc>
          <w:tcPr>
            <w:tcW w:type="dxa" w:w="1417"/>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5"/>
              </w:rPr>
              <w:t>Hoa hồng</w:t>
            </w:r>
          </w:p>
        </w:tc>
        <w:tc>
          <w:tcPr>
            <w:tcW w:type="dxa" w:w="1871"/>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5"/>
              </w:rPr>
              <w:t>Doanh thu vận hành</w:t>
            </w:r>
          </w:p>
        </w:tc>
        <w:tc>
          <w:tcPr>
            <w:tcW w:type="dxa" w:w="1361"/>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5"/>
              </w:rPr>
              <w:t>Thu hồi NWC</w:t>
            </w:r>
          </w:p>
        </w:tc>
        <w:tc>
          <w:tcPr>
            <w:tcW w:type="dxa" w:w="1474"/>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5"/>
              </w:rPr>
              <w:t>Tổng tiền vào</w:t>
            </w:r>
          </w:p>
        </w:tc>
      </w:tr>
      <w:tr>
        <w:trPr>
          <w:cantSplit/>
        </w:trPr>
        <w:tc>
          <w:tcPr>
            <w:tcW w:type="dxa" w:w="1020"/>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5"/>
              </w:rPr>
              <w:t>Năm 1</w:t>
            </w:r>
          </w:p>
        </w:tc>
        <w:tc>
          <w:tcPr>
            <w:tcW w:type="dxa" w:w="850"/>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8</w:t>
            </w:r>
          </w:p>
        </w:tc>
        <w:tc>
          <w:tcPr>
            <w:tcW w:type="dxa" w:w="136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480</w:t>
            </w:r>
          </w:p>
        </w:tc>
        <w:tc>
          <w:tcPr>
            <w:tcW w:type="dxa" w:w="141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112</w:t>
            </w:r>
          </w:p>
        </w:tc>
        <w:tc>
          <w:tcPr>
            <w:tcW w:type="dxa" w:w="187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592</w:t>
            </w:r>
          </w:p>
        </w:tc>
        <w:tc>
          <w:tcPr>
            <w:tcW w:type="dxa" w:w="136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0</w:t>
            </w:r>
          </w:p>
        </w:tc>
        <w:tc>
          <w:tcPr>
            <w:tcW w:type="dxa" w:w="147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592</w:t>
            </w:r>
          </w:p>
        </w:tc>
      </w:tr>
      <w:tr>
        <w:trPr>
          <w:cantSplit/>
        </w:trPr>
        <w:tc>
          <w:tcPr>
            <w:tcW w:type="dxa" w:w="1020"/>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5"/>
              </w:rPr>
              <w:t>Năm 2</w:t>
            </w:r>
          </w:p>
        </w:tc>
        <w:tc>
          <w:tcPr>
            <w:tcW w:type="dxa" w:w="850"/>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18</w:t>
            </w:r>
          </w:p>
        </w:tc>
        <w:tc>
          <w:tcPr>
            <w:tcW w:type="dxa" w:w="136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1.080</w:t>
            </w:r>
          </w:p>
        </w:tc>
        <w:tc>
          <w:tcPr>
            <w:tcW w:type="dxa" w:w="1417"/>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323</w:t>
            </w:r>
          </w:p>
        </w:tc>
        <w:tc>
          <w:tcPr>
            <w:tcW w:type="dxa" w:w="187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1.403</w:t>
            </w:r>
          </w:p>
        </w:tc>
        <w:tc>
          <w:tcPr>
            <w:tcW w:type="dxa" w:w="136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0</w:t>
            </w:r>
          </w:p>
        </w:tc>
        <w:tc>
          <w:tcPr>
            <w:tcW w:type="dxa" w:w="147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1.403</w:t>
            </w:r>
          </w:p>
        </w:tc>
      </w:tr>
      <w:tr>
        <w:trPr>
          <w:cantSplit/>
        </w:trPr>
        <w:tc>
          <w:tcPr>
            <w:tcW w:type="dxa" w:w="1020"/>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5"/>
              </w:rPr>
              <w:t>Năm 3</w:t>
            </w:r>
          </w:p>
        </w:tc>
        <w:tc>
          <w:tcPr>
            <w:tcW w:type="dxa" w:w="850"/>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35</w:t>
            </w:r>
          </w:p>
        </w:tc>
        <w:tc>
          <w:tcPr>
            <w:tcW w:type="dxa" w:w="136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2.100</w:t>
            </w:r>
          </w:p>
        </w:tc>
        <w:tc>
          <w:tcPr>
            <w:tcW w:type="dxa" w:w="141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823</w:t>
            </w:r>
          </w:p>
        </w:tc>
        <w:tc>
          <w:tcPr>
            <w:tcW w:type="dxa" w:w="187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2.923</w:t>
            </w:r>
          </w:p>
        </w:tc>
        <w:tc>
          <w:tcPr>
            <w:tcW w:type="dxa" w:w="136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0</w:t>
            </w:r>
          </w:p>
        </w:tc>
        <w:tc>
          <w:tcPr>
            <w:tcW w:type="dxa" w:w="147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2.923</w:t>
            </w:r>
          </w:p>
        </w:tc>
      </w:tr>
      <w:tr>
        <w:trPr>
          <w:cantSplit/>
        </w:trPr>
        <w:tc>
          <w:tcPr>
            <w:tcW w:type="dxa" w:w="1020"/>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5"/>
              </w:rPr>
              <w:t>Năm 4</w:t>
            </w:r>
          </w:p>
        </w:tc>
        <w:tc>
          <w:tcPr>
            <w:tcW w:type="dxa" w:w="850"/>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60</w:t>
            </w:r>
          </w:p>
        </w:tc>
        <w:tc>
          <w:tcPr>
            <w:tcW w:type="dxa" w:w="136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3.600</w:t>
            </w:r>
          </w:p>
        </w:tc>
        <w:tc>
          <w:tcPr>
            <w:tcW w:type="dxa" w:w="1417"/>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1.848</w:t>
            </w:r>
          </w:p>
        </w:tc>
        <w:tc>
          <w:tcPr>
            <w:tcW w:type="dxa" w:w="187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5.448</w:t>
            </w:r>
          </w:p>
        </w:tc>
        <w:tc>
          <w:tcPr>
            <w:tcW w:type="dxa" w:w="136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0</w:t>
            </w:r>
          </w:p>
        </w:tc>
        <w:tc>
          <w:tcPr>
            <w:tcW w:type="dxa" w:w="147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5.448</w:t>
            </w:r>
          </w:p>
        </w:tc>
      </w:tr>
      <w:tr>
        <w:trPr>
          <w:cantSplit/>
        </w:trPr>
        <w:tc>
          <w:tcPr>
            <w:tcW w:type="dxa" w:w="1020"/>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5"/>
              </w:rPr>
              <w:t>Năm 5</w:t>
            </w:r>
          </w:p>
        </w:tc>
        <w:tc>
          <w:tcPr>
            <w:tcW w:type="dxa" w:w="850"/>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100</w:t>
            </w:r>
          </w:p>
        </w:tc>
        <w:tc>
          <w:tcPr>
            <w:tcW w:type="dxa" w:w="136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6.000</w:t>
            </w:r>
          </w:p>
        </w:tc>
        <w:tc>
          <w:tcPr>
            <w:tcW w:type="dxa" w:w="141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3.920</w:t>
            </w:r>
          </w:p>
        </w:tc>
        <w:tc>
          <w:tcPr>
            <w:tcW w:type="dxa" w:w="187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9.920</w:t>
            </w:r>
          </w:p>
        </w:tc>
        <w:tc>
          <w:tcPr>
            <w:tcW w:type="dxa" w:w="136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0</w:t>
            </w:r>
          </w:p>
        </w:tc>
        <w:tc>
          <w:tcPr>
            <w:tcW w:type="dxa" w:w="147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9.920</w:t>
            </w:r>
          </w:p>
        </w:tc>
      </w:tr>
      <w:tr>
        <w:trPr>
          <w:cantSplit/>
        </w:trPr>
        <w:tc>
          <w:tcPr>
            <w:tcW w:type="dxa" w:w="1020"/>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5"/>
              </w:rPr>
              <w:t>Năm 6</w:t>
            </w:r>
          </w:p>
        </w:tc>
        <w:tc>
          <w:tcPr>
            <w:tcW w:type="dxa" w:w="850"/>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170</w:t>
            </w:r>
          </w:p>
        </w:tc>
        <w:tc>
          <w:tcPr>
            <w:tcW w:type="dxa" w:w="136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10.200</w:t>
            </w:r>
          </w:p>
        </w:tc>
        <w:tc>
          <w:tcPr>
            <w:tcW w:type="dxa" w:w="1417"/>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8.092</w:t>
            </w:r>
          </w:p>
        </w:tc>
        <w:tc>
          <w:tcPr>
            <w:tcW w:type="dxa" w:w="187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18.292</w:t>
            </w:r>
          </w:p>
        </w:tc>
        <w:tc>
          <w:tcPr>
            <w:tcW w:type="dxa" w:w="136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0</w:t>
            </w:r>
          </w:p>
        </w:tc>
        <w:tc>
          <w:tcPr>
            <w:tcW w:type="dxa" w:w="147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18.292</w:t>
            </w:r>
          </w:p>
        </w:tc>
      </w:tr>
      <w:tr>
        <w:trPr>
          <w:cantSplit/>
        </w:trPr>
        <w:tc>
          <w:tcPr>
            <w:tcW w:type="dxa" w:w="1020"/>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5"/>
              </w:rPr>
              <w:t>Năm 7</w:t>
            </w:r>
          </w:p>
        </w:tc>
        <w:tc>
          <w:tcPr>
            <w:tcW w:type="dxa" w:w="850"/>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220</w:t>
            </w:r>
          </w:p>
        </w:tc>
        <w:tc>
          <w:tcPr>
            <w:tcW w:type="dxa" w:w="136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13.200</w:t>
            </w:r>
          </w:p>
        </w:tc>
        <w:tc>
          <w:tcPr>
            <w:tcW w:type="dxa" w:w="141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12.320</w:t>
            </w:r>
          </w:p>
        </w:tc>
        <w:tc>
          <w:tcPr>
            <w:tcW w:type="dxa" w:w="187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25.520</w:t>
            </w:r>
          </w:p>
        </w:tc>
        <w:tc>
          <w:tcPr>
            <w:tcW w:type="dxa" w:w="136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2.552</w:t>
            </w:r>
          </w:p>
        </w:tc>
        <w:tc>
          <w:tcPr>
            <w:tcW w:type="dxa" w:w="147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28.072</w:t>
            </w:r>
          </w:p>
        </w:tc>
      </w:tr>
    </w:tbl>
    <w:p>
      <w:pPr>
        <w:spacing w:after="20"/>
        <w:widowControl w:val="1"/>
      </w:pPr>
    </w:p>
    <w:p>
      <w:pPr>
        <w:keepNext/>
        <w:jc w:val="center"/>
        <w:widowControl w:val="1"/>
      </w:pPr>
      <w:r>
        <w:drawing>
          <wp:inline xmlns:a="http://schemas.openxmlformats.org/drawingml/2006/main" xmlns:pic="http://schemas.openxmlformats.org/drawingml/2006/picture">
            <wp:extent cx="5760000" cy="2880000"/>
            <wp:docPr id="3" name="Picture 3"/>
            <wp:cNvGraphicFramePr>
              <a:graphicFrameLocks noChangeAspect="1"/>
            </wp:cNvGraphicFramePr>
            <a:graphic>
              <a:graphicData uri="http://schemas.openxmlformats.org/drawingml/2006/picture">
                <pic:pic>
                  <pic:nvPicPr>
                    <pic:cNvPr id="0" name="03_revenue_mix.png"/>
                    <pic:cNvPicPr/>
                  </pic:nvPicPr>
                  <pic:blipFill>
                    <a:blip r:embed="rId11"/>
                    <a:stretch>
                      <a:fillRect/>
                    </a:stretch>
                  </pic:blipFill>
                  <pic:spPr>
                    <a:xfrm>
                      <a:off x="0" y="0"/>
                      <a:ext cx="5760000" cy="2880000"/>
                    </a:xfrm>
                    <a:prstGeom prst="rect"/>
                  </pic:spPr>
                </pic:pic>
              </a:graphicData>
            </a:graphic>
          </wp:inline>
        </w:drawing>
      </w:r>
    </w:p>
    <w:p>
      <w:pPr>
        <w:spacing w:after="120"/>
        <w:jc w:val="center"/>
        <w:widowControl w:val="1"/>
      </w:pPr>
      <w:r>
        <w:rPr>
          <w:rFonts w:ascii="Aptos" w:hAnsi="Aptos" w:eastAsia="Aptos"/>
          <w:b w:val="0"/>
          <w:i/>
          <w:color w:val="555555"/>
          <w:sz w:val="17"/>
        </w:rPr>
        <w:t>Hình 3. Doanh thu vận hành theo hai nguồn được ghi nhận</w:t>
      </w:r>
    </w:p>
    <w:p>
      <w:pPr>
        <w:spacing w:line="274" w:lineRule="auto" w:after="100"/>
        <w:jc w:val="both"/>
        <w:widowControl w:val="1"/>
      </w:pPr>
      <w:r>
        <w:rPr>
          <w:rFonts w:ascii="Aptos" w:hAnsi="Aptos" w:eastAsia="Aptos"/>
          <w:b w:val="0"/>
          <w:i w:val="0"/>
          <w:color w:val="1F2937"/>
          <w:sz w:val="21"/>
        </w:rPr>
        <w:t>Năm 7 cần đọc đúng: doanh thu vận hành là 25.520 triệu đồng, gồm 13.200 triệu phí app và 12.320 triệu hoa hồng. Khoản 2.552 triệu đồng còn lại là thu hồi vốn lưu động cuối dự án, nên thuộc ngân lưu vào chứ không phải doanh thu bán hàng. Việc tách khoản này giúp chỉ tiêu doanh thu, biên lợi nhuận và khả năng scale không bị trình bày cao hơn thực tế.</w:t>
      </w:r>
    </w:p>
    <w:p>
      <w:pPr>
        <w:pStyle w:val="Heading2"/>
        <w:widowControl w:val="1"/>
      </w:pPr>
      <w:r>
        <w:t>5.4 Doanh thu, chi phí và lợi nhuận 7 năm</w:t>
      </w:r>
    </w:p>
    <w:tbl>
      <w:tblPr>
        <w:tblW w:type="auto" w:w="0"/>
        <w:jc w:val="center"/>
        <w:tblLayout w:type="fixed"/>
        <w:tblLook w:firstColumn="1" w:firstRow="1" w:lastColumn="0" w:lastRow="0" w:noHBand="0" w:noVBand="1" w:val="04A0"/>
      </w:tblPr>
      <w:tblGrid>
        <w:gridCol w:w="1457"/>
        <w:gridCol w:w="1457"/>
        <w:gridCol w:w="1457"/>
        <w:gridCol w:w="1457"/>
        <w:gridCol w:w="1457"/>
        <w:gridCol w:w="1457"/>
        <w:gridCol w:w="1457"/>
      </w:tblGrid>
      <w:tr>
        <w:trPr>
          <w:tblHeader w:val="true"/>
          <w:cantSplit/>
        </w:trPr>
        <w:tc>
          <w:tcPr>
            <w:tcW w:type="dxa" w:w="964"/>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5"/>
              </w:rPr>
              <w:t>Năm</w:t>
            </w:r>
          </w:p>
        </w:tc>
        <w:tc>
          <w:tcPr>
            <w:tcW w:type="dxa" w:w="1871"/>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5"/>
              </w:rPr>
              <w:t>Doanh thu vận hành</w:t>
            </w:r>
          </w:p>
        </w:tc>
        <w:tc>
          <w:tcPr>
            <w:tcW w:type="dxa" w:w="1474"/>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5"/>
              </w:rPr>
              <w:t>Opex</w:t>
            </w:r>
          </w:p>
        </w:tc>
        <w:tc>
          <w:tcPr>
            <w:tcW w:type="dxa" w:w="1417"/>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5"/>
              </w:rPr>
              <w:t>EBITDA</w:t>
            </w:r>
          </w:p>
        </w:tc>
        <w:tc>
          <w:tcPr>
            <w:tcW w:type="dxa" w:w="1417"/>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5"/>
              </w:rPr>
              <w:t>Biên EBITDA</w:t>
            </w:r>
          </w:p>
        </w:tc>
        <w:tc>
          <w:tcPr>
            <w:tcW w:type="dxa" w:w="1701"/>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5"/>
              </w:rPr>
              <w:t>LN ròng theo Excel</w:t>
            </w:r>
          </w:p>
        </w:tc>
        <w:tc>
          <w:tcPr>
            <w:tcW w:type="dxa" w:w="1474"/>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5"/>
              </w:rPr>
              <w:t>Biên LN ròng</w:t>
            </w:r>
          </w:p>
        </w:tc>
      </w:tr>
      <w:tr>
        <w:trPr>
          <w:cantSplit/>
        </w:trPr>
        <w:tc>
          <w:tcPr>
            <w:tcW w:type="dxa" w:w="96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5"/>
              </w:rPr>
              <w:t>Năm 1</w:t>
            </w:r>
          </w:p>
        </w:tc>
        <w:tc>
          <w:tcPr>
            <w:tcW w:type="dxa" w:w="187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592</w:t>
            </w:r>
          </w:p>
        </w:tc>
        <w:tc>
          <w:tcPr>
            <w:tcW w:type="dxa" w:w="147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1.489</w:t>
            </w:r>
          </w:p>
        </w:tc>
        <w:tc>
          <w:tcPr>
            <w:tcW w:type="dxa" w:w="141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C73E3A"/>
                <w:sz w:val="15"/>
              </w:rPr>
              <w:t>(897)</w:t>
            </w:r>
          </w:p>
        </w:tc>
        <w:tc>
          <w:tcPr>
            <w:tcW w:type="dxa" w:w="141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-151,5%</w:t>
            </w:r>
          </w:p>
        </w:tc>
        <w:tc>
          <w:tcPr>
            <w:tcW w:type="dxa" w:w="170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C73E3A"/>
                <w:sz w:val="15"/>
              </w:rPr>
              <w:t>(1.504)</w:t>
            </w:r>
          </w:p>
        </w:tc>
        <w:tc>
          <w:tcPr>
            <w:tcW w:type="dxa" w:w="147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-254,0%</w:t>
            </w:r>
          </w:p>
        </w:tc>
      </w:tr>
      <w:tr>
        <w:trPr>
          <w:cantSplit/>
        </w:trPr>
        <w:tc>
          <w:tcPr>
            <w:tcW w:type="dxa" w:w="96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5"/>
              </w:rPr>
              <w:t>Năm 2</w:t>
            </w:r>
          </w:p>
        </w:tc>
        <w:tc>
          <w:tcPr>
            <w:tcW w:type="dxa" w:w="187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1.403</w:t>
            </w:r>
          </w:p>
        </w:tc>
        <w:tc>
          <w:tcPr>
            <w:tcW w:type="dxa" w:w="147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1.888</w:t>
            </w:r>
          </w:p>
        </w:tc>
        <w:tc>
          <w:tcPr>
            <w:tcW w:type="dxa" w:w="1417"/>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C73E3A"/>
                <w:sz w:val="15"/>
              </w:rPr>
              <w:t>(485)</w:t>
            </w:r>
          </w:p>
        </w:tc>
        <w:tc>
          <w:tcPr>
            <w:tcW w:type="dxa" w:w="1417"/>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-34,6%</w:t>
            </w:r>
          </w:p>
        </w:tc>
        <w:tc>
          <w:tcPr>
            <w:tcW w:type="dxa" w:w="170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C73E3A"/>
                <w:sz w:val="15"/>
              </w:rPr>
              <w:t>(1.064)</w:t>
            </w:r>
          </w:p>
        </w:tc>
        <w:tc>
          <w:tcPr>
            <w:tcW w:type="dxa" w:w="147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-75,9%</w:t>
            </w:r>
          </w:p>
        </w:tc>
      </w:tr>
      <w:tr>
        <w:trPr>
          <w:cantSplit/>
        </w:trPr>
        <w:tc>
          <w:tcPr>
            <w:tcW w:type="dxa" w:w="96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5"/>
              </w:rPr>
              <w:t>Năm 3</w:t>
            </w:r>
          </w:p>
        </w:tc>
        <w:tc>
          <w:tcPr>
            <w:tcW w:type="dxa" w:w="187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2.923</w:t>
            </w:r>
          </w:p>
        </w:tc>
        <w:tc>
          <w:tcPr>
            <w:tcW w:type="dxa" w:w="147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2.809</w:t>
            </w:r>
          </w:p>
        </w:tc>
        <w:tc>
          <w:tcPr>
            <w:tcW w:type="dxa" w:w="141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114</w:t>
            </w:r>
          </w:p>
        </w:tc>
        <w:tc>
          <w:tcPr>
            <w:tcW w:type="dxa" w:w="141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3,9%</w:t>
            </w:r>
          </w:p>
        </w:tc>
        <w:tc>
          <w:tcPr>
            <w:tcW w:type="dxa" w:w="170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C73E3A"/>
                <w:sz w:val="15"/>
              </w:rPr>
              <w:t>(444)</w:t>
            </w:r>
          </w:p>
        </w:tc>
        <w:tc>
          <w:tcPr>
            <w:tcW w:type="dxa" w:w="147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-15,2%</w:t>
            </w:r>
          </w:p>
        </w:tc>
      </w:tr>
      <w:tr>
        <w:trPr>
          <w:cantSplit/>
        </w:trPr>
        <w:tc>
          <w:tcPr>
            <w:tcW w:type="dxa" w:w="96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5"/>
              </w:rPr>
              <w:t>Năm 4</w:t>
            </w:r>
          </w:p>
        </w:tc>
        <w:tc>
          <w:tcPr>
            <w:tcW w:type="dxa" w:w="187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5.448</w:t>
            </w:r>
          </w:p>
        </w:tc>
        <w:tc>
          <w:tcPr>
            <w:tcW w:type="dxa" w:w="147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4.233</w:t>
            </w:r>
          </w:p>
        </w:tc>
        <w:tc>
          <w:tcPr>
            <w:tcW w:type="dxa" w:w="1417"/>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1.215</w:t>
            </w:r>
          </w:p>
        </w:tc>
        <w:tc>
          <w:tcPr>
            <w:tcW w:type="dxa" w:w="1417"/>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22,3%</w:t>
            </w:r>
          </w:p>
        </w:tc>
        <w:tc>
          <w:tcPr>
            <w:tcW w:type="dxa" w:w="170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704</w:t>
            </w:r>
          </w:p>
        </w:tc>
        <w:tc>
          <w:tcPr>
            <w:tcW w:type="dxa" w:w="147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12,9%</w:t>
            </w:r>
          </w:p>
        </w:tc>
      </w:tr>
      <w:tr>
        <w:trPr>
          <w:cantSplit/>
        </w:trPr>
        <w:tc>
          <w:tcPr>
            <w:tcW w:type="dxa" w:w="96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5"/>
              </w:rPr>
              <w:t>Năm 5</w:t>
            </w:r>
          </w:p>
        </w:tc>
        <w:tc>
          <w:tcPr>
            <w:tcW w:type="dxa" w:w="187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9.920</w:t>
            </w:r>
          </w:p>
        </w:tc>
        <w:tc>
          <w:tcPr>
            <w:tcW w:type="dxa" w:w="147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6.058</w:t>
            </w:r>
          </w:p>
        </w:tc>
        <w:tc>
          <w:tcPr>
            <w:tcW w:type="dxa" w:w="141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3.862</w:t>
            </w:r>
          </w:p>
        </w:tc>
        <w:tc>
          <w:tcPr>
            <w:tcW w:type="dxa" w:w="141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38,9%</w:t>
            </w:r>
          </w:p>
        </w:tc>
        <w:tc>
          <w:tcPr>
            <w:tcW w:type="dxa" w:w="170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2.841</w:t>
            </w:r>
          </w:p>
        </w:tc>
        <w:tc>
          <w:tcPr>
            <w:tcW w:type="dxa" w:w="147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28,6%</w:t>
            </w:r>
          </w:p>
        </w:tc>
      </w:tr>
      <w:tr>
        <w:trPr>
          <w:cantSplit/>
        </w:trPr>
        <w:tc>
          <w:tcPr>
            <w:tcW w:type="dxa" w:w="96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5"/>
              </w:rPr>
              <w:t>Năm 6</w:t>
            </w:r>
          </w:p>
        </w:tc>
        <w:tc>
          <w:tcPr>
            <w:tcW w:type="dxa" w:w="187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18.292</w:t>
            </w:r>
          </w:p>
        </w:tc>
        <w:tc>
          <w:tcPr>
            <w:tcW w:type="dxa" w:w="147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9.537</w:t>
            </w:r>
          </w:p>
        </w:tc>
        <w:tc>
          <w:tcPr>
            <w:tcW w:type="dxa" w:w="1417"/>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8.755</w:t>
            </w:r>
          </w:p>
        </w:tc>
        <w:tc>
          <w:tcPr>
            <w:tcW w:type="dxa" w:w="1417"/>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47,9%</w:t>
            </w:r>
          </w:p>
        </w:tc>
        <w:tc>
          <w:tcPr>
            <w:tcW w:type="dxa" w:w="170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6.778</w:t>
            </w:r>
          </w:p>
        </w:tc>
        <w:tc>
          <w:tcPr>
            <w:tcW w:type="dxa" w:w="147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37,1%</w:t>
            </w:r>
          </w:p>
        </w:tc>
      </w:tr>
      <w:tr>
        <w:trPr>
          <w:cantSplit/>
        </w:trPr>
        <w:tc>
          <w:tcPr>
            <w:tcW w:type="dxa" w:w="96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5"/>
              </w:rPr>
              <w:t>Năm 7</w:t>
            </w:r>
          </w:p>
        </w:tc>
        <w:tc>
          <w:tcPr>
            <w:tcW w:type="dxa" w:w="187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25.520</w:t>
            </w:r>
          </w:p>
        </w:tc>
        <w:tc>
          <w:tcPr>
            <w:tcW w:type="dxa" w:w="147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13.267</w:t>
            </w:r>
          </w:p>
        </w:tc>
        <w:tc>
          <w:tcPr>
            <w:tcW w:type="dxa" w:w="141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14.805</w:t>
            </w:r>
          </w:p>
        </w:tc>
        <w:tc>
          <w:tcPr>
            <w:tcW w:type="dxa" w:w="141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52,7%</w:t>
            </w:r>
          </w:p>
        </w:tc>
        <w:tc>
          <w:tcPr>
            <w:tcW w:type="dxa" w:w="170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11.618</w:t>
            </w:r>
          </w:p>
        </w:tc>
        <w:tc>
          <w:tcPr>
            <w:tcW w:type="dxa" w:w="147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5"/>
              </w:rPr>
              <w:t>41,4%</w:t>
            </w:r>
          </w:p>
        </w:tc>
      </w:tr>
    </w:tbl>
    <w:p>
      <w:pPr>
        <w:spacing w:after="20"/>
        <w:widowControl w:val="1"/>
      </w:pPr>
    </w:p>
    <w:p>
      <w:pPr>
        <w:keepNext/>
        <w:jc w:val="center"/>
        <w:widowControl w:val="1"/>
      </w:pPr>
      <w:r>
        <w:drawing>
          <wp:inline xmlns:a="http://schemas.openxmlformats.org/drawingml/2006/main" xmlns:pic="http://schemas.openxmlformats.org/drawingml/2006/picture">
            <wp:extent cx="5760000" cy="2880000"/>
            <wp:docPr id="4" name="Picture 4"/>
            <wp:cNvGraphicFramePr>
              <a:graphicFrameLocks noChangeAspect="1"/>
            </wp:cNvGraphicFramePr>
            <a:graphic>
              <a:graphicData uri="http://schemas.openxmlformats.org/drawingml/2006/picture">
                <pic:pic>
                  <pic:nvPicPr>
                    <pic:cNvPr id="0" name="04_revenue_opex.png"/>
                    <pic:cNvPicPr/>
                  </pic:nvPicPr>
                  <pic:blipFill>
                    <a:blip r:embed="rId12"/>
                    <a:stretch>
                      <a:fillRect/>
                    </a:stretch>
                  </pic:blipFill>
                  <pic:spPr>
                    <a:xfrm>
                      <a:off x="0" y="0"/>
                      <a:ext cx="5760000" cy="2880000"/>
                    </a:xfrm>
                    <a:prstGeom prst="rect"/>
                  </pic:spPr>
                </pic:pic>
              </a:graphicData>
            </a:graphic>
          </wp:inline>
        </w:drawing>
      </w:r>
    </w:p>
    <w:p>
      <w:pPr>
        <w:spacing w:after="120"/>
        <w:jc w:val="center"/>
        <w:widowControl w:val="1"/>
      </w:pPr>
      <w:r>
        <w:rPr>
          <w:rFonts w:ascii="Aptos" w:hAnsi="Aptos" w:eastAsia="Aptos"/>
          <w:b w:val="0"/>
          <w:i/>
          <w:color w:val="555555"/>
          <w:sz w:val="17"/>
        </w:rPr>
        <w:t>Hình 4. Doanh thu vận hành và chi phí vận hành</w:t>
      </w:r>
    </w:p>
    <w:p>
      <w:pPr>
        <w:keepNext/>
        <w:jc w:val="center"/>
        <w:widowControl w:val="1"/>
      </w:pPr>
      <w:r>
        <w:drawing>
          <wp:inline xmlns:a="http://schemas.openxmlformats.org/drawingml/2006/main" xmlns:pic="http://schemas.openxmlformats.org/drawingml/2006/picture">
            <wp:extent cx="5760000" cy="2880000"/>
            <wp:docPr id="5" name="Picture 5"/>
            <wp:cNvGraphicFramePr>
              <a:graphicFrameLocks noChangeAspect="1"/>
            </wp:cNvGraphicFramePr>
            <a:graphic>
              <a:graphicData uri="http://schemas.openxmlformats.org/drawingml/2006/picture">
                <pic:pic>
                  <pic:nvPicPr>
                    <pic:cNvPr id="0" name="05_profit.png"/>
                    <pic:cNvPicPr/>
                  </pic:nvPicPr>
                  <pic:blipFill>
                    <a:blip r:embed="rId13"/>
                    <a:stretch>
                      <a:fillRect/>
                    </a:stretch>
                  </pic:blipFill>
                  <pic:spPr>
                    <a:xfrm>
                      <a:off x="0" y="0"/>
                      <a:ext cx="5760000" cy="2880000"/>
                    </a:xfrm>
                    <a:prstGeom prst="rect"/>
                  </pic:spPr>
                </pic:pic>
              </a:graphicData>
            </a:graphic>
          </wp:inline>
        </w:drawing>
      </w:r>
    </w:p>
    <w:p>
      <w:pPr>
        <w:spacing w:after="120"/>
        <w:jc w:val="center"/>
        <w:widowControl w:val="1"/>
      </w:pPr>
      <w:r>
        <w:rPr>
          <w:rFonts w:ascii="Aptos" w:hAnsi="Aptos" w:eastAsia="Aptos"/>
          <w:b w:val="0"/>
          <w:i/>
          <w:color w:val="555555"/>
          <w:sz w:val="17"/>
        </w:rPr>
        <w:t>Hình 5. EBITDA và lợi nhuận ròng theo báo cáo tài chính</w:t>
      </w:r>
    </w:p>
    <w:p>
      <w:pPr>
        <w:keepNext/>
        <w:jc w:val="center"/>
        <w:widowControl w:val="1"/>
      </w:pPr>
      <w:r>
        <w:drawing>
          <wp:inline xmlns:a="http://schemas.openxmlformats.org/drawingml/2006/main" xmlns:pic="http://schemas.openxmlformats.org/drawingml/2006/picture">
            <wp:extent cx="5760000" cy="2880000"/>
            <wp:docPr id="6" name="Picture 6"/>
            <wp:cNvGraphicFramePr>
              <a:graphicFrameLocks noChangeAspect="1"/>
            </wp:cNvGraphicFramePr>
            <a:graphic>
              <a:graphicData uri="http://schemas.openxmlformats.org/drawingml/2006/picture">
                <pic:pic>
                  <pic:nvPicPr>
                    <pic:cNvPr id="0" name="07_margins.png"/>
                    <pic:cNvPicPr/>
                  </pic:nvPicPr>
                  <pic:blipFill>
                    <a:blip r:embed="rId14"/>
                    <a:stretch>
                      <a:fillRect/>
                    </a:stretch>
                  </pic:blipFill>
                  <pic:spPr>
                    <a:xfrm>
                      <a:off x="0" y="0"/>
                      <a:ext cx="5760000" cy="2880000"/>
                    </a:xfrm>
                    <a:prstGeom prst="rect"/>
                  </pic:spPr>
                </pic:pic>
              </a:graphicData>
            </a:graphic>
          </wp:inline>
        </w:drawing>
      </w:r>
    </w:p>
    <w:p>
      <w:pPr>
        <w:spacing w:after="120"/>
        <w:jc w:val="center"/>
        <w:widowControl w:val="1"/>
      </w:pPr>
      <w:r>
        <w:rPr>
          <w:rFonts w:ascii="Aptos" w:hAnsi="Aptos" w:eastAsia="Aptos"/>
          <w:b w:val="0"/>
          <w:i/>
          <w:color w:val="555555"/>
          <w:sz w:val="17"/>
        </w:rPr>
        <w:t>Hình 6. Quá trình cải thiện biên EBITDA và biên lợi nhuận ròng</w:t>
      </w:r>
    </w:p>
    <w:p>
      <w:pPr>
        <w:spacing w:line="274" w:lineRule="auto" w:after="100"/>
        <w:jc w:val="both"/>
        <w:widowControl w:val="1"/>
      </w:pPr>
      <w:r>
        <w:rPr>
          <w:rFonts w:ascii="Aptos" w:hAnsi="Aptos" w:eastAsia="Aptos"/>
          <w:b w:val="0"/>
          <w:i w:val="0"/>
          <w:color w:val="1F2937"/>
          <w:sz w:val="21"/>
        </w:rPr>
        <w:t>Ba năm đầu là giai đoạn hấp thụ chi phí cố định. EBITDA lần lượt âm 897 triệu, âm 485 triệu và dương 114 triệu đồng. Đến Năm 4, lợi nhuận ròng chuyển dương 704 triệu đồng. Từ Năm 5 trở đi, tăng trưởng doanh thu nhanh hơn tăng chi phí cố định làm biên EBITDA mở rộng mạnh. Đây là cơ chế sinh lợi chính của mô hình SaaS kết hợp phí giao dịch.</w:t>
      </w:r>
    </w:p>
    <w:p>
      <w:pPr>
        <w:pStyle w:val="Heading2"/>
        <w:widowControl w:val="1"/>
      </w:pPr>
      <w:r>
        <w:t>5.5 Chi phí được kiểm soát như thế nào</w:t>
      </w:r>
    </w:p>
    <w:tbl>
      <w:tblPr>
        <w:tblW w:type="auto" w:w="0"/>
        <w:jc w:val="center"/>
        <w:tblLayout w:type="fixed"/>
        <w:tblLook w:firstColumn="1" w:firstRow="1" w:lastColumn="0" w:lastRow="0" w:noHBand="0" w:noVBand="1" w:val="04A0"/>
      </w:tblPr>
      <w:tblGrid>
        <w:gridCol w:w="1700"/>
        <w:gridCol w:w="1700"/>
        <w:gridCol w:w="1700"/>
        <w:gridCol w:w="1700"/>
        <w:gridCol w:w="1700"/>
        <w:gridCol w:w="1700"/>
      </w:tblGrid>
      <w:tr>
        <w:trPr>
          <w:tblHeader w:val="true"/>
          <w:cantSplit/>
        </w:trPr>
        <w:tc>
          <w:tcPr>
            <w:tcW w:type="dxa" w:w="1020"/>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6"/>
              </w:rPr>
              <w:t>Năm</w:t>
            </w:r>
          </w:p>
        </w:tc>
        <w:tc>
          <w:tcPr>
            <w:tcW w:type="dxa" w:w="1587"/>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6"/>
              </w:rPr>
              <w:t>Nhân sự</w:t>
            </w:r>
          </w:p>
        </w:tc>
        <w:tc>
          <w:tcPr>
            <w:tcW w:type="dxa" w:w="1587"/>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6"/>
              </w:rPr>
              <w:t>Công nghệ</w:t>
            </w:r>
          </w:p>
        </w:tc>
        <w:tc>
          <w:tcPr>
            <w:tcW w:type="dxa" w:w="1928"/>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6"/>
              </w:rPr>
              <w:t>Marketing và R&amp;D</w:t>
            </w:r>
          </w:p>
        </w:tc>
        <w:tc>
          <w:tcPr>
            <w:tcW w:type="dxa" w:w="1814"/>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6"/>
              </w:rPr>
              <w:t>Chi phí cố định</w:t>
            </w:r>
          </w:p>
        </w:tc>
        <w:tc>
          <w:tcPr>
            <w:tcW w:type="dxa" w:w="1701"/>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6"/>
              </w:rPr>
              <w:t>Tổng Opex</w:t>
            </w:r>
          </w:p>
        </w:tc>
      </w:tr>
      <w:tr>
        <w:trPr>
          <w:cantSplit/>
        </w:trPr>
        <w:tc>
          <w:tcPr>
            <w:tcW w:type="dxa" w:w="1020"/>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6"/>
              </w:rPr>
              <w:t>Năm 1</w:t>
            </w:r>
          </w:p>
        </w:tc>
        <w:tc>
          <w:tcPr>
            <w:tcW w:type="dxa" w:w="158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720</w:t>
            </w:r>
          </w:p>
        </w:tc>
        <w:tc>
          <w:tcPr>
            <w:tcW w:type="dxa" w:w="158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359</w:t>
            </w:r>
          </w:p>
        </w:tc>
        <w:tc>
          <w:tcPr>
            <w:tcW w:type="dxa" w:w="1928"/>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130</w:t>
            </w:r>
          </w:p>
        </w:tc>
        <w:tc>
          <w:tcPr>
            <w:tcW w:type="dxa" w:w="181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280</w:t>
            </w:r>
          </w:p>
        </w:tc>
        <w:tc>
          <w:tcPr>
            <w:tcW w:type="dxa" w:w="170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1.489</w:t>
            </w:r>
          </w:p>
        </w:tc>
      </w:tr>
      <w:tr>
        <w:trPr>
          <w:cantSplit/>
        </w:trPr>
        <w:tc>
          <w:tcPr>
            <w:tcW w:type="dxa" w:w="1020"/>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6"/>
              </w:rPr>
              <w:t>Năm 2</w:t>
            </w:r>
          </w:p>
        </w:tc>
        <w:tc>
          <w:tcPr>
            <w:tcW w:type="dxa" w:w="1587"/>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819</w:t>
            </w:r>
          </w:p>
        </w:tc>
        <w:tc>
          <w:tcPr>
            <w:tcW w:type="dxa" w:w="1587"/>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480</w:t>
            </w:r>
          </w:p>
        </w:tc>
        <w:tc>
          <w:tcPr>
            <w:tcW w:type="dxa" w:w="1928"/>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309</w:t>
            </w:r>
          </w:p>
        </w:tc>
        <w:tc>
          <w:tcPr>
            <w:tcW w:type="dxa" w:w="181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280</w:t>
            </w:r>
          </w:p>
        </w:tc>
        <w:tc>
          <w:tcPr>
            <w:tcW w:type="dxa" w:w="170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1.888</w:t>
            </w:r>
          </w:p>
        </w:tc>
      </w:tr>
      <w:tr>
        <w:trPr>
          <w:cantSplit/>
        </w:trPr>
        <w:tc>
          <w:tcPr>
            <w:tcW w:type="dxa" w:w="1020"/>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6"/>
              </w:rPr>
              <w:t>Năm 3</w:t>
            </w:r>
          </w:p>
        </w:tc>
        <w:tc>
          <w:tcPr>
            <w:tcW w:type="dxa" w:w="158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1.177</w:t>
            </w:r>
          </w:p>
        </w:tc>
        <w:tc>
          <w:tcPr>
            <w:tcW w:type="dxa" w:w="158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708</w:t>
            </w:r>
          </w:p>
        </w:tc>
        <w:tc>
          <w:tcPr>
            <w:tcW w:type="dxa" w:w="1928"/>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643</w:t>
            </w:r>
          </w:p>
        </w:tc>
        <w:tc>
          <w:tcPr>
            <w:tcW w:type="dxa" w:w="181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280</w:t>
            </w:r>
          </w:p>
        </w:tc>
        <w:tc>
          <w:tcPr>
            <w:tcW w:type="dxa" w:w="170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2.809</w:t>
            </w:r>
          </w:p>
        </w:tc>
      </w:tr>
      <w:tr>
        <w:trPr>
          <w:cantSplit/>
        </w:trPr>
        <w:tc>
          <w:tcPr>
            <w:tcW w:type="dxa" w:w="1020"/>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6"/>
              </w:rPr>
              <w:t>Năm 4</w:t>
            </w:r>
          </w:p>
        </w:tc>
        <w:tc>
          <w:tcPr>
            <w:tcW w:type="dxa" w:w="1587"/>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1.667</w:t>
            </w:r>
          </w:p>
        </w:tc>
        <w:tc>
          <w:tcPr>
            <w:tcW w:type="dxa" w:w="1587"/>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1.087</w:t>
            </w:r>
          </w:p>
        </w:tc>
        <w:tc>
          <w:tcPr>
            <w:tcW w:type="dxa" w:w="1928"/>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1.199</w:t>
            </w:r>
          </w:p>
        </w:tc>
        <w:tc>
          <w:tcPr>
            <w:tcW w:type="dxa" w:w="181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280</w:t>
            </w:r>
          </w:p>
        </w:tc>
        <w:tc>
          <w:tcPr>
            <w:tcW w:type="dxa" w:w="170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4.233</w:t>
            </w:r>
          </w:p>
        </w:tc>
      </w:tr>
      <w:tr>
        <w:trPr>
          <w:cantSplit/>
        </w:trPr>
        <w:tc>
          <w:tcPr>
            <w:tcW w:type="dxa" w:w="1020"/>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6"/>
              </w:rPr>
              <w:t>Năm 5</w:t>
            </w:r>
          </w:p>
        </w:tc>
        <w:tc>
          <w:tcPr>
            <w:tcW w:type="dxa" w:w="158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1.838</w:t>
            </w:r>
          </w:p>
        </w:tc>
        <w:tc>
          <w:tcPr>
            <w:tcW w:type="dxa" w:w="158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1.758</w:t>
            </w:r>
          </w:p>
        </w:tc>
        <w:tc>
          <w:tcPr>
            <w:tcW w:type="dxa" w:w="1928"/>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2.182</w:t>
            </w:r>
          </w:p>
        </w:tc>
        <w:tc>
          <w:tcPr>
            <w:tcW w:type="dxa" w:w="181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280</w:t>
            </w:r>
          </w:p>
        </w:tc>
        <w:tc>
          <w:tcPr>
            <w:tcW w:type="dxa" w:w="170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6.058</w:t>
            </w:r>
          </w:p>
        </w:tc>
      </w:tr>
      <w:tr>
        <w:trPr>
          <w:cantSplit/>
        </w:trPr>
        <w:tc>
          <w:tcPr>
            <w:tcW w:type="dxa" w:w="1020"/>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6"/>
              </w:rPr>
              <w:t>Năm 6</w:t>
            </w:r>
          </w:p>
        </w:tc>
        <w:tc>
          <w:tcPr>
            <w:tcW w:type="dxa" w:w="1587"/>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2.219</w:t>
            </w:r>
          </w:p>
        </w:tc>
        <w:tc>
          <w:tcPr>
            <w:tcW w:type="dxa" w:w="1587"/>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3.014</w:t>
            </w:r>
          </w:p>
        </w:tc>
        <w:tc>
          <w:tcPr>
            <w:tcW w:type="dxa" w:w="1928"/>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4.024</w:t>
            </w:r>
          </w:p>
        </w:tc>
        <w:tc>
          <w:tcPr>
            <w:tcW w:type="dxa" w:w="181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280</w:t>
            </w:r>
          </w:p>
        </w:tc>
        <w:tc>
          <w:tcPr>
            <w:tcW w:type="dxa" w:w="170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9.537</w:t>
            </w:r>
          </w:p>
        </w:tc>
      </w:tr>
      <w:tr>
        <w:trPr>
          <w:cantSplit/>
        </w:trPr>
        <w:tc>
          <w:tcPr>
            <w:tcW w:type="dxa" w:w="1020"/>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6"/>
              </w:rPr>
              <w:t>Năm 7</w:t>
            </w:r>
          </w:p>
        </w:tc>
        <w:tc>
          <w:tcPr>
            <w:tcW w:type="dxa" w:w="158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2.330</w:t>
            </w:r>
          </w:p>
        </w:tc>
        <w:tc>
          <w:tcPr>
            <w:tcW w:type="dxa" w:w="158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4.481</w:t>
            </w:r>
          </w:p>
        </w:tc>
        <w:tc>
          <w:tcPr>
            <w:tcW w:type="dxa" w:w="1928"/>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6.176</w:t>
            </w:r>
          </w:p>
        </w:tc>
        <w:tc>
          <w:tcPr>
            <w:tcW w:type="dxa" w:w="181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280</w:t>
            </w:r>
          </w:p>
        </w:tc>
        <w:tc>
          <w:tcPr>
            <w:tcW w:type="dxa" w:w="170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6"/>
              </w:rPr>
              <w:t>13.267</w:t>
            </w:r>
          </w:p>
        </w:tc>
      </w:tr>
    </w:tbl>
    <w:p>
      <w:pPr>
        <w:spacing w:after="20"/>
        <w:widowControl w:val="1"/>
      </w:pPr>
    </w:p>
    <w:p>
      <w:pPr>
        <w:keepNext/>
        <w:jc w:val="center"/>
        <w:widowControl w:val="1"/>
      </w:pPr>
      <w:r>
        <w:drawing>
          <wp:inline xmlns:a="http://schemas.openxmlformats.org/drawingml/2006/main" xmlns:pic="http://schemas.openxmlformats.org/drawingml/2006/picture">
            <wp:extent cx="5760000" cy="2880000"/>
            <wp:docPr id="7" name="Picture 7"/>
            <wp:cNvGraphicFramePr>
              <a:graphicFrameLocks noChangeAspect="1"/>
            </wp:cNvGraphicFramePr>
            <a:graphic>
              <a:graphicData uri="http://schemas.openxmlformats.org/drawingml/2006/picture">
                <pic:pic>
                  <pic:nvPicPr>
                    <pic:cNvPr id="0" name="13_cost_mix.png"/>
                    <pic:cNvPicPr/>
                  </pic:nvPicPr>
                  <pic:blipFill>
                    <a:blip r:embed="rId15"/>
                    <a:stretch>
                      <a:fillRect/>
                    </a:stretch>
                  </pic:blipFill>
                  <pic:spPr>
                    <a:xfrm>
                      <a:off x="0" y="0"/>
                      <a:ext cx="5760000" cy="2880000"/>
                    </a:xfrm>
                    <a:prstGeom prst="rect"/>
                  </pic:spPr>
                </pic:pic>
              </a:graphicData>
            </a:graphic>
          </wp:inline>
        </w:drawing>
      </w:r>
    </w:p>
    <w:p>
      <w:pPr>
        <w:spacing w:after="120"/>
        <w:jc w:val="center"/>
        <w:widowControl w:val="1"/>
      </w:pPr>
      <w:r>
        <w:rPr>
          <w:rFonts w:ascii="Aptos" w:hAnsi="Aptos" w:eastAsia="Aptos"/>
          <w:b w:val="0"/>
          <w:i/>
          <w:color w:val="555555"/>
          <w:sz w:val="17"/>
        </w:rPr>
        <w:t>Hình 7. Cơ cấu chi phí vận hành theo nhóm</w:t>
      </w:r>
    </w:p>
    <w:p>
      <w:pPr>
        <w:spacing w:line="274" w:lineRule="auto" w:after="100"/>
        <w:jc w:val="both"/>
        <w:widowControl w:val="1"/>
      </w:pPr>
      <w:r>
        <w:rPr>
          <w:rFonts w:ascii="Aptos" w:hAnsi="Aptos" w:eastAsia="Aptos"/>
          <w:b w:val="0"/>
          <w:i w:val="0"/>
          <w:color w:val="1F2937"/>
          <w:sz w:val="21"/>
        </w:rPr>
        <w:t>Chi phí biến đổi trong công thức thực tế gồm 15% doanh thu cho hoạt động nền tảng, 12% cho marketing và 10% cho R&amp;D, tổng cộng 37% doanh thu. Phần còn lại là nhân sự, duy trì công nghệ 270 triệu đồng/năm và chi phí quản lý - pháp lý 280 triệu đồng/năm. Vì vậy, mỗi 1 đồng doanh thu tăng thêm tạo khoảng 0,63 đồng đóng góp trước chi phí cố định, khấu hao, lãi vay và thuế.</w:t>
      </w:r>
    </w:p>
    <w:p>
      <w:pPr>
        <w:pStyle w:val="Heading2"/>
        <w:widowControl w:val="1"/>
      </w:pPr>
      <w:r>
        <w:t>5.6 Điểm hòa vốn: ba mốc phải phân biệt</w:t>
      </w:r>
    </w:p>
    <w:tbl>
      <w:tblPr>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2324"/>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7"/>
              </w:rPr>
              <w:t>Mốc</w:t>
            </w:r>
          </w:p>
        </w:tc>
        <w:tc>
          <w:tcPr>
            <w:tcW w:type="dxa" w:w="1417"/>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7"/>
              </w:rPr>
              <w:t>Thời điểm</w:t>
            </w:r>
          </w:p>
        </w:tc>
        <w:tc>
          <w:tcPr>
            <w:tcW w:type="dxa" w:w="3572"/>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7"/>
              </w:rPr>
              <w:t>Cách tính</w:t>
            </w:r>
          </w:p>
        </w:tc>
        <w:tc>
          <w:tcPr>
            <w:tcW w:type="dxa" w:w="2268"/>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7"/>
              </w:rPr>
              <w:t>Kết quả</w:t>
            </w:r>
          </w:p>
        </w:tc>
      </w:tr>
      <w:tr>
        <w:trPr>
          <w:cantSplit/>
        </w:trPr>
        <w:tc>
          <w:tcPr>
            <w:tcW w:type="dxa" w:w="232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Hòa vốn EBITDA</w:t>
            </w:r>
          </w:p>
        </w:tc>
        <w:tc>
          <w:tcPr>
            <w:tcW w:type="dxa" w:w="141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Năm 3</w:t>
            </w:r>
          </w:p>
        </w:tc>
        <w:tc>
          <w:tcPr>
            <w:tcW w:type="dxa" w:w="3572"/>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Doanh thu 2.923 triệu vượt ngưỡng khoảng 2.742 triệu</w:t>
            </w:r>
          </w:p>
        </w:tc>
        <w:tc>
          <w:tcPr>
            <w:tcW w:type="dxa" w:w="2268"/>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EBITDA dương 114 triệu</w:t>
            </w:r>
          </w:p>
        </w:tc>
      </w:tr>
      <w:tr>
        <w:trPr>
          <w:cantSplit/>
        </w:trPr>
        <w:tc>
          <w:tcPr>
            <w:tcW w:type="dxa" w:w="232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Lợi nhuận ròng dương</w:t>
            </w:r>
          </w:p>
        </w:tc>
        <w:tc>
          <w:tcPr>
            <w:tcW w:type="dxa" w:w="1417"/>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Năm 4</w:t>
            </w:r>
          </w:p>
        </w:tc>
        <w:tc>
          <w:tcPr>
            <w:tcW w:type="dxa" w:w="3572"/>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Sau khấu hao, lãi vay và thuế</w:t>
            </w:r>
          </w:p>
        </w:tc>
        <w:tc>
          <w:tcPr>
            <w:tcW w:type="dxa" w:w="2268"/>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Lợi nhuận ròng 704 triệu</w:t>
            </w:r>
          </w:p>
        </w:tc>
      </w:tr>
      <w:tr>
        <w:trPr>
          <w:cantSplit/>
        </w:trPr>
        <w:tc>
          <w:tcPr>
            <w:tcW w:type="dxa" w:w="232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Hoàn vốn không chiết khấu</w:t>
            </w:r>
          </w:p>
        </w:tc>
        <w:tc>
          <w:tcPr>
            <w:tcW w:type="dxa" w:w="141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5,16 năm</w:t>
            </w:r>
          </w:p>
        </w:tc>
        <w:tc>
          <w:tcPr>
            <w:tcW w:type="dxa" w:w="3572"/>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NCF EPV lũy kế chuyển dương trong Năm 6</w:t>
            </w:r>
          </w:p>
        </w:tc>
        <w:tc>
          <w:tcPr>
            <w:tcW w:type="dxa" w:w="2268"/>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Theo công thức PP trong Excel</w:t>
            </w:r>
          </w:p>
        </w:tc>
      </w:tr>
      <w:tr>
        <w:trPr>
          <w:cantSplit/>
        </w:trPr>
        <w:tc>
          <w:tcPr>
            <w:tcW w:type="dxa" w:w="232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Hoàn vốn chiết khấu</w:t>
            </w:r>
          </w:p>
        </w:tc>
        <w:tc>
          <w:tcPr>
            <w:tcW w:type="dxa" w:w="1417"/>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Khoảng 5,70 năm</w:t>
            </w:r>
          </w:p>
        </w:tc>
        <w:tc>
          <w:tcPr>
            <w:tcW w:type="dxa" w:w="3572"/>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Tính từ NCF EPV đã chiết khấu</w:t>
            </w:r>
          </w:p>
        </w:tc>
        <w:tc>
          <w:tcPr>
            <w:tcW w:type="dxa" w:w="2268"/>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Thận trọng hơn PP</w:t>
            </w:r>
          </w:p>
        </w:tc>
      </w:tr>
    </w:tbl>
    <w:p>
      <w:pPr>
        <w:spacing w:after="20"/>
        <w:widowControl w:val="1"/>
      </w:pPr>
    </w:p>
    <w:p>
      <w:pPr>
        <w:keepNext/>
        <w:jc w:val="center"/>
        <w:widowControl w:val="1"/>
      </w:pPr>
      <w:r>
        <w:drawing>
          <wp:inline xmlns:a="http://schemas.openxmlformats.org/drawingml/2006/main" xmlns:pic="http://schemas.openxmlformats.org/drawingml/2006/picture">
            <wp:extent cx="5760000" cy="2880000"/>
            <wp:docPr id="8" name="Picture 8"/>
            <wp:cNvGraphicFramePr>
              <a:graphicFrameLocks noChangeAspect="1"/>
            </wp:cNvGraphicFramePr>
            <a:graphic>
              <a:graphicData uri="http://schemas.openxmlformats.org/drawingml/2006/picture">
                <pic:pic>
                  <pic:nvPicPr>
                    <pic:cNvPr id="0" name="08_breakeven.png"/>
                    <pic:cNvPicPr/>
                  </pic:nvPicPr>
                  <pic:blipFill>
                    <a:blip r:embed="rId16"/>
                    <a:stretch>
                      <a:fillRect/>
                    </a:stretch>
                  </pic:blipFill>
                  <pic:spPr>
                    <a:xfrm>
                      <a:off x="0" y="0"/>
                      <a:ext cx="5760000" cy="2880000"/>
                    </a:xfrm>
                    <a:prstGeom prst="rect"/>
                  </pic:spPr>
                </pic:pic>
              </a:graphicData>
            </a:graphic>
          </wp:inline>
        </w:drawing>
      </w:r>
    </w:p>
    <w:p>
      <w:pPr>
        <w:spacing w:after="120"/>
        <w:jc w:val="center"/>
        <w:widowControl w:val="1"/>
      </w:pPr>
      <w:r>
        <w:rPr>
          <w:rFonts w:ascii="Aptos" w:hAnsi="Aptos" w:eastAsia="Aptos"/>
          <w:b w:val="0"/>
          <w:i/>
          <w:color w:val="555555"/>
          <w:sz w:val="17"/>
        </w:rPr>
        <w:t>Hình 8. Doanh thu vận hành và ngưỡng hòa vốn EBITDA</w:t>
      </w:r>
    </w:p>
    <w:p>
      <w:pPr>
        <w:spacing w:line="274" w:lineRule="auto" w:after="100"/>
        <w:jc w:val="both"/>
        <w:widowControl w:val="1"/>
      </w:pPr>
      <w:r>
        <w:rPr>
          <w:rFonts w:ascii="Aptos" w:hAnsi="Aptos" w:eastAsia="Aptos"/>
          <w:b w:val="0"/>
          <w:i w:val="0"/>
          <w:color w:val="1F2937"/>
          <w:sz w:val="21"/>
        </w:rPr>
        <w:t>Mốc dùng để điều hành là hòa vốn EBITDA, vì nó trả lời hoạt động cốt lõi đã tự nuôi được bộ máy hay chưa. Mốc lợi nhuận ròng dùng cho báo cáo kế toán. Mốc hoàn vốn trả lời nhà đầu tư phải chờ bao lâu để dòng tiền lũy kế bù lại số vốn đã bỏ ra. Không nên dùng ba khái niệm này thay thế cho nhau.</w:t>
      </w:r>
    </w:p>
    <w:p>
      <w:pPr>
        <w:pStyle w:val="Heading2"/>
        <w:widowControl w:val="1"/>
      </w:pPr>
      <w:r>
        <w:t>5.7 Dòng tiền và thời gian hoàn vốn</w:t>
      </w:r>
    </w:p>
    <w:tbl>
      <w:tblPr>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417"/>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8"/>
              </w:rPr>
              <w:t>Năm</w:t>
            </w:r>
          </w:p>
        </w:tc>
        <w:tc>
          <w:tcPr>
            <w:tcW w:type="dxa" w:w="2494"/>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8"/>
              </w:rPr>
              <w:t>NCF vốn chủ</w:t>
            </w:r>
          </w:p>
        </w:tc>
        <w:tc>
          <w:tcPr>
            <w:tcW w:type="dxa" w:w="2721"/>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8"/>
              </w:rPr>
              <w:t>NCF vốn chủ lũy kế</w:t>
            </w:r>
          </w:p>
        </w:tc>
        <w:tc>
          <w:tcPr>
            <w:tcW w:type="dxa" w:w="2494"/>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8"/>
              </w:rPr>
              <w:t>NCF đã chiết khấu</w:t>
            </w:r>
          </w:p>
        </w:tc>
      </w:tr>
      <w:tr>
        <w:trPr>
          <w:cantSplit/>
        </w:trPr>
        <w:tc>
          <w:tcPr>
            <w:tcW w:type="dxa" w:w="141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Năm 1</w:t>
            </w:r>
          </w:p>
        </w:tc>
        <w:tc>
          <w:tcPr>
            <w:tcW w:type="dxa" w:w="249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C73E3A"/>
                <w:sz w:val="18"/>
              </w:rPr>
              <w:t>(1.237)</w:t>
            </w:r>
          </w:p>
        </w:tc>
        <w:tc>
          <w:tcPr>
            <w:tcW w:type="dxa" w:w="272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C73E3A"/>
                <w:sz w:val="18"/>
              </w:rPr>
              <w:t>(2.791)</w:t>
            </w:r>
          </w:p>
        </w:tc>
        <w:tc>
          <w:tcPr>
            <w:tcW w:type="dxa" w:w="249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C73E3A"/>
                <w:sz w:val="18"/>
              </w:rPr>
              <w:t>(1.082)</w:t>
            </w:r>
          </w:p>
        </w:tc>
      </w:tr>
      <w:tr>
        <w:trPr>
          <w:cantSplit/>
        </w:trPr>
        <w:tc>
          <w:tcPr>
            <w:tcW w:type="dxa" w:w="1417"/>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Năm 2</w:t>
            </w:r>
          </w:p>
        </w:tc>
        <w:tc>
          <w:tcPr>
            <w:tcW w:type="dxa" w:w="249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C73E3A"/>
                <w:sz w:val="18"/>
              </w:rPr>
              <w:t>(847)</w:t>
            </w:r>
          </w:p>
        </w:tc>
        <w:tc>
          <w:tcPr>
            <w:tcW w:type="dxa" w:w="272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C73E3A"/>
                <w:sz w:val="18"/>
              </w:rPr>
              <w:t>(3.637)</w:t>
            </w:r>
          </w:p>
        </w:tc>
        <w:tc>
          <w:tcPr>
            <w:tcW w:type="dxa" w:w="249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C73E3A"/>
                <w:sz w:val="18"/>
              </w:rPr>
              <w:t>(648)</w:t>
            </w:r>
          </w:p>
        </w:tc>
      </w:tr>
      <w:tr>
        <w:trPr>
          <w:cantSplit/>
        </w:trPr>
        <w:tc>
          <w:tcPr>
            <w:tcW w:type="dxa" w:w="141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Năm 3</w:t>
            </w:r>
          </w:p>
        </w:tc>
        <w:tc>
          <w:tcPr>
            <w:tcW w:type="dxa" w:w="249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C73E3A"/>
                <w:sz w:val="18"/>
              </w:rPr>
              <w:t>(318)</w:t>
            </w:r>
          </w:p>
        </w:tc>
        <w:tc>
          <w:tcPr>
            <w:tcW w:type="dxa" w:w="272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C73E3A"/>
                <w:sz w:val="18"/>
              </w:rPr>
              <w:t>(3.956)</w:t>
            </w:r>
          </w:p>
        </w:tc>
        <w:tc>
          <w:tcPr>
            <w:tcW w:type="dxa" w:w="249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C73E3A"/>
                <w:sz w:val="18"/>
              </w:rPr>
              <w:t>(213)</w:t>
            </w:r>
          </w:p>
        </w:tc>
      </w:tr>
      <w:tr>
        <w:trPr>
          <w:cantSplit/>
        </w:trPr>
        <w:tc>
          <w:tcPr>
            <w:tcW w:type="dxa" w:w="1417"/>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Năm 4</w:t>
            </w:r>
          </w:p>
        </w:tc>
        <w:tc>
          <w:tcPr>
            <w:tcW w:type="dxa" w:w="249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507</w:t>
            </w:r>
          </w:p>
        </w:tc>
        <w:tc>
          <w:tcPr>
            <w:tcW w:type="dxa" w:w="272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C73E3A"/>
                <w:sz w:val="18"/>
              </w:rPr>
              <w:t>(3.449)</w:t>
            </w:r>
          </w:p>
        </w:tc>
        <w:tc>
          <w:tcPr>
            <w:tcW w:type="dxa" w:w="249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297</w:t>
            </w:r>
          </w:p>
        </w:tc>
      </w:tr>
      <w:tr>
        <w:trPr>
          <w:cantSplit/>
        </w:trPr>
        <w:tc>
          <w:tcPr>
            <w:tcW w:type="dxa" w:w="141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Năm 5</w:t>
            </w:r>
          </w:p>
        </w:tc>
        <w:tc>
          <w:tcPr>
            <w:tcW w:type="dxa" w:w="249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2.424</w:t>
            </w:r>
          </w:p>
        </w:tc>
        <w:tc>
          <w:tcPr>
            <w:tcW w:type="dxa" w:w="272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C73E3A"/>
                <w:sz w:val="18"/>
              </w:rPr>
              <w:t>(1.025)</w:t>
            </w:r>
          </w:p>
        </w:tc>
        <w:tc>
          <w:tcPr>
            <w:tcW w:type="dxa" w:w="249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1.241</w:t>
            </w:r>
          </w:p>
        </w:tc>
      </w:tr>
      <w:tr>
        <w:trPr>
          <w:cantSplit/>
        </w:trPr>
        <w:tc>
          <w:tcPr>
            <w:tcW w:type="dxa" w:w="1417"/>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Năm 6</w:t>
            </w:r>
          </w:p>
        </w:tc>
        <w:tc>
          <w:tcPr>
            <w:tcW w:type="dxa" w:w="249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6.223</w:t>
            </w:r>
          </w:p>
        </w:tc>
        <w:tc>
          <w:tcPr>
            <w:tcW w:type="dxa" w:w="272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5.198</w:t>
            </w:r>
          </w:p>
        </w:tc>
        <w:tc>
          <w:tcPr>
            <w:tcW w:type="dxa" w:w="249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2.788</w:t>
            </w:r>
          </w:p>
        </w:tc>
      </w:tr>
      <w:tr>
        <w:trPr>
          <w:cantSplit/>
        </w:trPr>
        <w:tc>
          <w:tcPr>
            <w:tcW w:type="dxa" w:w="141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Năm 7</w:t>
            </w:r>
          </w:p>
        </w:tc>
        <w:tc>
          <w:tcPr>
            <w:tcW w:type="dxa" w:w="249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10.923</w:t>
            </w:r>
          </w:p>
        </w:tc>
        <w:tc>
          <w:tcPr>
            <w:tcW w:type="dxa" w:w="272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16.121</w:t>
            </w:r>
          </w:p>
        </w:tc>
        <w:tc>
          <w:tcPr>
            <w:tcW w:type="dxa" w:w="249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4.280</w:t>
            </w:r>
          </w:p>
        </w:tc>
      </w:tr>
    </w:tbl>
    <w:p>
      <w:pPr>
        <w:spacing w:after="20"/>
        <w:widowControl w:val="1"/>
      </w:pPr>
    </w:p>
    <w:p>
      <w:pPr>
        <w:keepNext/>
        <w:jc w:val="center"/>
        <w:widowControl w:val="1"/>
      </w:pPr>
      <w:r>
        <w:drawing>
          <wp:inline xmlns:a="http://schemas.openxmlformats.org/drawingml/2006/main" xmlns:pic="http://schemas.openxmlformats.org/drawingml/2006/picture">
            <wp:extent cx="5760000" cy="2880000"/>
            <wp:docPr id="9" name="Picture 9"/>
            <wp:cNvGraphicFramePr>
              <a:graphicFrameLocks noChangeAspect="1"/>
            </wp:cNvGraphicFramePr>
            <a:graphic>
              <a:graphicData uri="http://schemas.openxmlformats.org/drawingml/2006/picture">
                <pic:pic>
                  <pic:nvPicPr>
                    <pic:cNvPr id="0" name="09_cashflow.png"/>
                    <pic:cNvPicPr/>
                  </pic:nvPicPr>
                  <pic:blipFill>
                    <a:blip r:embed="rId17"/>
                    <a:stretch>
                      <a:fillRect/>
                    </a:stretch>
                  </pic:blipFill>
                  <pic:spPr>
                    <a:xfrm>
                      <a:off x="0" y="0"/>
                      <a:ext cx="5760000" cy="2880000"/>
                    </a:xfrm>
                    <a:prstGeom prst="rect"/>
                  </pic:spPr>
                </pic:pic>
              </a:graphicData>
            </a:graphic>
          </wp:inline>
        </w:drawing>
      </w:r>
    </w:p>
    <w:p>
      <w:pPr>
        <w:spacing w:after="120"/>
        <w:jc w:val="center"/>
        <w:widowControl w:val="1"/>
      </w:pPr>
      <w:r>
        <w:rPr>
          <w:rFonts w:ascii="Aptos" w:hAnsi="Aptos" w:eastAsia="Aptos"/>
          <w:b w:val="0"/>
          <w:i/>
          <w:color w:val="555555"/>
          <w:sz w:val="17"/>
        </w:rPr>
        <w:t>Hình 9. Ngân lưu vốn chủ sở hữu từng năm và lũy kế</w:t>
      </w:r>
    </w:p>
    <w:p>
      <w:pPr>
        <w:spacing w:line="274" w:lineRule="auto" w:after="100"/>
        <w:jc w:val="both"/>
        <w:widowControl w:val="1"/>
      </w:pPr>
      <w:r>
        <w:rPr>
          <w:rFonts w:ascii="Aptos" w:hAnsi="Aptos" w:eastAsia="Aptos"/>
          <w:b w:val="0"/>
          <w:i w:val="0"/>
          <w:color w:val="1F2937"/>
          <w:sz w:val="21"/>
        </w:rPr>
        <w:t>Dòng tiền vốn chủ âm 1.237 triệu đồng ở Năm 1, âm 847 triệu ở Năm 2 và âm 318 triệu ở Năm 3. Mức âm lũy kế lớn nhất là 3.956 triệu đồng vào cuối Năm 3, bao gồm 1.554 triệu đồng vốn chủ ban đầu. Từ Năm 4, dự án bắt đầu tạo tiền dương; đến Năm 6, dòng tiền lũy kế vượt điểm hoàn vốn.</w:t>
      </w:r>
    </w:p>
    <w:p>
      <w:pPr>
        <w:pStyle w:val="Heading2"/>
        <w:widowControl w:val="1"/>
      </w:pPr>
      <w:r>
        <w:t>5.8 Khả năng trả nợ</w:t>
      </w:r>
    </w:p>
    <w:tbl>
      <w:tblPr>
        <w:tblW w:type="auto" w:w="0"/>
        <w:jc w:val="center"/>
        <w:tblLayout w:type="fixed"/>
        <w:tblLook w:firstColumn="1" w:firstRow="1" w:lastColumn="0" w:lastRow="0" w:noHBand="0" w:noVBand="1" w:val="04A0"/>
      </w:tblPr>
      <w:tblGrid>
        <w:gridCol w:w="2040"/>
        <w:gridCol w:w="2040"/>
        <w:gridCol w:w="2040"/>
        <w:gridCol w:w="2040"/>
        <w:gridCol w:w="2040"/>
      </w:tblGrid>
      <w:tr>
        <w:trPr>
          <w:tblHeader w:val="true"/>
          <w:cantSplit/>
        </w:trPr>
        <w:tc>
          <w:tcPr>
            <w:tcW w:type="dxa" w:w="1304"/>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8"/>
              </w:rPr>
              <w:t>Năm</w:t>
            </w:r>
          </w:p>
        </w:tc>
        <w:tc>
          <w:tcPr>
            <w:tcW w:type="dxa" w:w="1701"/>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8"/>
              </w:rPr>
              <w:t>Lãi</w:t>
            </w:r>
          </w:p>
        </w:tc>
        <w:tc>
          <w:tcPr>
            <w:tcW w:type="dxa" w:w="1701"/>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8"/>
              </w:rPr>
              <w:t>Gốc</w:t>
            </w:r>
          </w:p>
        </w:tc>
        <w:tc>
          <w:tcPr>
            <w:tcW w:type="dxa" w:w="2154"/>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8"/>
              </w:rPr>
              <w:t>Tổng trả nợ</w:t>
            </w:r>
          </w:p>
        </w:tc>
        <w:tc>
          <w:tcPr>
            <w:tcW w:type="dxa" w:w="2154"/>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8"/>
              </w:rPr>
              <w:t>Dư nợ cuối kỳ</w:t>
            </w:r>
          </w:p>
        </w:tc>
      </w:tr>
      <w:tr>
        <w:trPr>
          <w:cantSplit/>
        </w:trPr>
        <w:tc>
          <w:tcPr>
            <w:tcW w:type="dxa" w:w="130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Năm 1</w:t>
            </w:r>
          </w:p>
        </w:tc>
        <w:tc>
          <w:tcPr>
            <w:tcW w:type="dxa" w:w="170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114</w:t>
            </w:r>
          </w:p>
        </w:tc>
        <w:tc>
          <w:tcPr>
            <w:tcW w:type="dxa" w:w="170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166</w:t>
            </w:r>
          </w:p>
        </w:tc>
        <w:tc>
          <w:tcPr>
            <w:tcW w:type="dxa" w:w="215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280</w:t>
            </w:r>
          </w:p>
        </w:tc>
        <w:tc>
          <w:tcPr>
            <w:tcW w:type="dxa" w:w="215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870</w:t>
            </w:r>
          </w:p>
        </w:tc>
      </w:tr>
      <w:tr>
        <w:trPr>
          <w:cantSplit/>
        </w:trPr>
        <w:tc>
          <w:tcPr>
            <w:tcW w:type="dxa" w:w="130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Năm 2</w:t>
            </w:r>
          </w:p>
        </w:tc>
        <w:tc>
          <w:tcPr>
            <w:tcW w:type="dxa" w:w="170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96</w:t>
            </w:r>
          </w:p>
        </w:tc>
        <w:tc>
          <w:tcPr>
            <w:tcW w:type="dxa" w:w="170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185</w:t>
            </w:r>
          </w:p>
        </w:tc>
        <w:tc>
          <w:tcPr>
            <w:tcW w:type="dxa" w:w="215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280</w:t>
            </w:r>
          </w:p>
        </w:tc>
        <w:tc>
          <w:tcPr>
            <w:tcW w:type="dxa" w:w="215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685</w:t>
            </w:r>
          </w:p>
        </w:tc>
      </w:tr>
      <w:tr>
        <w:trPr>
          <w:cantSplit/>
        </w:trPr>
        <w:tc>
          <w:tcPr>
            <w:tcW w:type="dxa" w:w="130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Năm 3</w:t>
            </w:r>
          </w:p>
        </w:tc>
        <w:tc>
          <w:tcPr>
            <w:tcW w:type="dxa" w:w="170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75</w:t>
            </w:r>
          </w:p>
        </w:tc>
        <w:tc>
          <w:tcPr>
            <w:tcW w:type="dxa" w:w="170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205</w:t>
            </w:r>
          </w:p>
        </w:tc>
        <w:tc>
          <w:tcPr>
            <w:tcW w:type="dxa" w:w="215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280</w:t>
            </w:r>
          </w:p>
        </w:tc>
        <w:tc>
          <w:tcPr>
            <w:tcW w:type="dxa" w:w="215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480</w:t>
            </w:r>
          </w:p>
        </w:tc>
      </w:tr>
      <w:tr>
        <w:trPr>
          <w:cantSplit/>
        </w:trPr>
        <w:tc>
          <w:tcPr>
            <w:tcW w:type="dxa" w:w="130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Năm 4</w:t>
            </w:r>
          </w:p>
        </w:tc>
        <w:tc>
          <w:tcPr>
            <w:tcW w:type="dxa" w:w="170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53</w:t>
            </w:r>
          </w:p>
        </w:tc>
        <w:tc>
          <w:tcPr>
            <w:tcW w:type="dxa" w:w="170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228</w:t>
            </w:r>
          </w:p>
        </w:tc>
        <w:tc>
          <w:tcPr>
            <w:tcW w:type="dxa" w:w="215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280</w:t>
            </w:r>
          </w:p>
        </w:tc>
        <w:tc>
          <w:tcPr>
            <w:tcW w:type="dxa" w:w="215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253</w:t>
            </w:r>
          </w:p>
        </w:tc>
      </w:tr>
      <w:tr>
        <w:trPr>
          <w:cantSplit/>
        </w:trPr>
        <w:tc>
          <w:tcPr>
            <w:tcW w:type="dxa" w:w="130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Năm 5</w:t>
            </w:r>
          </w:p>
        </w:tc>
        <w:tc>
          <w:tcPr>
            <w:tcW w:type="dxa" w:w="170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28</w:t>
            </w:r>
          </w:p>
        </w:tc>
        <w:tc>
          <w:tcPr>
            <w:tcW w:type="dxa" w:w="170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253</w:t>
            </w:r>
          </w:p>
        </w:tc>
        <w:tc>
          <w:tcPr>
            <w:tcW w:type="dxa" w:w="215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280</w:t>
            </w:r>
          </w:p>
        </w:tc>
        <w:tc>
          <w:tcPr>
            <w:tcW w:type="dxa" w:w="215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0</w:t>
            </w:r>
          </w:p>
        </w:tc>
      </w:tr>
      <w:tr>
        <w:trPr>
          <w:cantSplit/>
        </w:trPr>
        <w:tc>
          <w:tcPr>
            <w:tcW w:type="dxa" w:w="130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Năm 6</w:t>
            </w:r>
          </w:p>
        </w:tc>
        <w:tc>
          <w:tcPr>
            <w:tcW w:type="dxa" w:w="170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0</w:t>
            </w:r>
          </w:p>
        </w:tc>
        <w:tc>
          <w:tcPr>
            <w:tcW w:type="dxa" w:w="170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0</w:t>
            </w:r>
          </w:p>
        </w:tc>
        <w:tc>
          <w:tcPr>
            <w:tcW w:type="dxa" w:w="215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0</w:t>
            </w:r>
          </w:p>
        </w:tc>
        <w:tc>
          <w:tcPr>
            <w:tcW w:type="dxa" w:w="215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0</w:t>
            </w:r>
          </w:p>
        </w:tc>
      </w:tr>
      <w:tr>
        <w:trPr>
          <w:cantSplit/>
        </w:trPr>
        <w:tc>
          <w:tcPr>
            <w:tcW w:type="dxa" w:w="130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Năm 7</w:t>
            </w:r>
          </w:p>
        </w:tc>
        <w:tc>
          <w:tcPr>
            <w:tcW w:type="dxa" w:w="170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0</w:t>
            </w:r>
          </w:p>
        </w:tc>
        <w:tc>
          <w:tcPr>
            <w:tcW w:type="dxa" w:w="170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0</w:t>
            </w:r>
          </w:p>
        </w:tc>
        <w:tc>
          <w:tcPr>
            <w:tcW w:type="dxa" w:w="215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0</w:t>
            </w:r>
          </w:p>
        </w:tc>
        <w:tc>
          <w:tcPr>
            <w:tcW w:type="dxa" w:w="215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0</w:t>
            </w:r>
          </w:p>
        </w:tc>
      </w:tr>
    </w:tbl>
    <w:p>
      <w:pPr>
        <w:spacing w:after="20"/>
        <w:widowControl w:val="1"/>
      </w:pPr>
    </w:p>
    <w:p>
      <w:pPr>
        <w:keepNext/>
        <w:jc w:val="center"/>
        <w:widowControl w:val="1"/>
      </w:pPr>
      <w:r>
        <w:drawing>
          <wp:inline xmlns:a="http://schemas.openxmlformats.org/drawingml/2006/main" xmlns:pic="http://schemas.openxmlformats.org/drawingml/2006/picture">
            <wp:extent cx="5760000" cy="2880000"/>
            <wp:docPr id="10" name="Picture 10"/>
            <wp:cNvGraphicFramePr>
              <a:graphicFrameLocks noChangeAspect="1"/>
            </wp:cNvGraphicFramePr>
            <a:graphic>
              <a:graphicData uri="http://schemas.openxmlformats.org/drawingml/2006/picture">
                <pic:pic>
                  <pic:nvPicPr>
                    <pic:cNvPr id="0" name="10_debt.png"/>
                    <pic:cNvPicPr/>
                  </pic:nvPicPr>
                  <pic:blipFill>
                    <a:blip r:embed="rId18"/>
                    <a:stretch>
                      <a:fillRect/>
                    </a:stretch>
                  </pic:blipFill>
                  <pic:spPr>
                    <a:xfrm>
                      <a:off x="0" y="0"/>
                      <a:ext cx="5760000" cy="2880000"/>
                    </a:xfrm>
                    <a:prstGeom prst="rect"/>
                  </pic:spPr>
                </pic:pic>
              </a:graphicData>
            </a:graphic>
          </wp:inline>
        </w:drawing>
      </w:r>
    </w:p>
    <w:p>
      <w:pPr>
        <w:spacing w:after="120"/>
        <w:jc w:val="center"/>
        <w:widowControl w:val="1"/>
      </w:pPr>
      <w:r>
        <w:rPr>
          <w:rFonts w:ascii="Aptos" w:hAnsi="Aptos" w:eastAsia="Aptos"/>
          <w:b w:val="0"/>
          <w:i/>
          <w:color w:val="555555"/>
          <w:sz w:val="17"/>
        </w:rPr>
        <w:t>Hình 10. Nghĩa vụ trả nợ và dư nợ cuối kỳ</w:t>
      </w:r>
    </w:p>
    <w:p>
      <w:pPr>
        <w:spacing w:line="274" w:lineRule="auto" w:after="100"/>
        <w:jc w:val="both"/>
        <w:widowControl w:val="1"/>
      </w:pPr>
      <w:r>
        <w:rPr>
          <w:rFonts w:ascii="Aptos" w:hAnsi="Aptos" w:eastAsia="Aptos"/>
          <w:b w:val="0"/>
          <w:i w:val="0"/>
          <w:color w:val="1F2937"/>
          <w:sz w:val="21"/>
        </w:rPr>
        <w:t>Khoản vay 1.036 triệu đồng tạo nghĩa vụ trả 280,31 triệu đồng mỗi năm trong 5 năm. Trong khi đó, dòng tiền trước tài trợ vẫn âm ở Năm 1, Năm 2 và Năm 3. Vì vậy, khoản vay thương mại chỉ khả thi nếu có tài sản bảo đảm, nguồn trả nợ khác, ân hạn gốc hoặc đối tác cam kết dòng tiền. Phương án thực thi an toàn hơn là giải ngân nợ theo milestone, ưu tiên grant/SAFE/vốn đối tác cho phần rủi ro cao và chỉ tăng nợ khi doanh thu định kỳ đủ chứng minh khả năng trả nợ.</w:t>
      </w:r>
    </w:p>
    <w:p>
      <w:pPr>
        <w:pStyle w:val="Heading2"/>
        <w:widowControl w:val="1"/>
      </w:pPr>
      <w:r>
        <w:t>5.9 NPV, IRR và hiệu quả vốn</w:t>
      </w:r>
    </w:p>
    <w:tbl>
      <w:tblPr>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2268"/>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8"/>
              </w:rPr>
              <w:t>Chỉ tiêu</w:t>
            </w:r>
          </w:p>
        </w:tc>
        <w:tc>
          <w:tcPr>
            <w:tcW w:type="dxa" w:w="2551"/>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8"/>
              </w:rPr>
              <w:t>Kết quả</w:t>
            </w:r>
          </w:p>
        </w:tc>
        <w:tc>
          <w:tcPr>
            <w:tcW w:type="dxa" w:w="4535"/>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8"/>
              </w:rPr>
              <w:t>Cách đọc</w:t>
            </w:r>
          </w:p>
        </w:tc>
      </w:tr>
      <w:tr>
        <w:trPr>
          <w:cantSplit/>
        </w:trPr>
        <w:tc>
          <w:tcPr>
            <w:tcW w:type="dxa" w:w="2268"/>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WACC</w:t>
            </w:r>
          </w:p>
        </w:tc>
        <w:tc>
          <w:tcPr>
            <w:tcW w:type="dxa" w:w="255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14,32%</w:t>
            </w:r>
          </w:p>
        </w:tc>
        <w:tc>
          <w:tcPr>
            <w:tcW w:type="dxa" w:w="4535"/>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Mức chiết khấu của mô hình</w:t>
            </w:r>
          </w:p>
        </w:tc>
      </w:tr>
      <w:tr>
        <w:trPr>
          <w:cantSplit/>
        </w:trPr>
        <w:tc>
          <w:tcPr>
            <w:tcW w:type="dxa" w:w="2268"/>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NPV</w:t>
            </w:r>
          </w:p>
        </w:tc>
        <w:tc>
          <w:tcPr>
            <w:tcW w:type="dxa" w:w="255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5.110 triệu đồng</w:t>
            </w:r>
          </w:p>
        </w:tc>
        <w:tc>
          <w:tcPr>
            <w:tcW w:type="dxa" w:w="4535"/>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Giá trị hiện tại ròng dương</w:t>
            </w:r>
          </w:p>
        </w:tc>
      </w:tr>
      <w:tr>
        <w:trPr>
          <w:cantSplit/>
        </w:trPr>
        <w:tc>
          <w:tcPr>
            <w:tcW w:type="dxa" w:w="2268"/>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IRR</w:t>
            </w:r>
          </w:p>
        </w:tc>
        <w:tc>
          <w:tcPr>
            <w:tcW w:type="dxa" w:w="255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34,95%</w:t>
            </w:r>
          </w:p>
        </w:tc>
        <w:tc>
          <w:tcPr>
            <w:tcW w:type="dxa" w:w="4535"/>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Cao hơn WACC 14,32%</w:t>
            </w:r>
          </w:p>
        </w:tc>
      </w:tr>
      <w:tr>
        <w:trPr>
          <w:cantSplit/>
        </w:trPr>
        <w:tc>
          <w:tcPr>
            <w:tcW w:type="dxa" w:w="2268"/>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MIRR</w:t>
            </w:r>
          </w:p>
        </w:tc>
        <w:tc>
          <w:tcPr>
            <w:tcW w:type="dxa" w:w="255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30,02%</w:t>
            </w:r>
          </w:p>
        </w:tc>
        <w:tc>
          <w:tcPr>
            <w:tcW w:type="dxa" w:w="4535"/>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Thận trọng hơn IRR vì tái đầu tư theo WACC</w:t>
            </w:r>
          </w:p>
        </w:tc>
      </w:tr>
      <w:tr>
        <w:trPr>
          <w:cantSplit/>
        </w:trPr>
        <w:tc>
          <w:tcPr>
            <w:tcW w:type="dxa" w:w="2268"/>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BCR</w:t>
            </w:r>
          </w:p>
        </w:tc>
        <w:tc>
          <w:tcPr>
            <w:tcW w:type="dxa" w:w="255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4,29 lần</w:t>
            </w:r>
          </w:p>
        </w:tc>
        <w:tc>
          <w:tcPr>
            <w:tcW w:type="dxa" w:w="4535"/>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Giá trị chiết khấu tạo ra trên vốn chủ ban đầu</w:t>
            </w:r>
          </w:p>
        </w:tc>
      </w:tr>
      <w:tr>
        <w:trPr>
          <w:cantSplit/>
        </w:trPr>
        <w:tc>
          <w:tcPr>
            <w:tcW w:type="dxa" w:w="2268"/>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EAB</w:t>
            </w:r>
          </w:p>
        </w:tc>
        <w:tc>
          <w:tcPr>
            <w:tcW w:type="dxa" w:w="255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1.203 triệu đồng/năm</w:t>
            </w:r>
          </w:p>
        </w:tc>
        <w:tc>
          <w:tcPr>
            <w:tcW w:type="dxa" w:w="4535"/>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NPV quy đổi thành lợi ích đều hàng năm</w:t>
            </w:r>
          </w:p>
        </w:tc>
      </w:tr>
    </w:tbl>
    <w:p>
      <w:pPr>
        <w:spacing w:after="20"/>
        <w:widowControl w:val="1"/>
      </w:pPr>
    </w:p>
    <w:p>
      <w:pPr>
        <w:keepNext/>
        <w:jc w:val="center"/>
        <w:widowControl w:val="1"/>
      </w:pPr>
      <w:r>
        <w:drawing>
          <wp:inline xmlns:a="http://schemas.openxmlformats.org/drawingml/2006/main" xmlns:pic="http://schemas.openxmlformats.org/drawingml/2006/picture">
            <wp:extent cx="5760000" cy="2880000"/>
            <wp:docPr id="11" name="Picture 11"/>
            <wp:cNvGraphicFramePr>
              <a:graphicFrameLocks noChangeAspect="1"/>
            </wp:cNvGraphicFramePr>
            <a:graphic>
              <a:graphicData uri="http://schemas.openxmlformats.org/drawingml/2006/picture">
                <pic:pic>
                  <pic:nvPicPr>
                    <pic:cNvPr id="0" name="11_wacc.png"/>
                    <pic:cNvPicPr/>
                  </pic:nvPicPr>
                  <pic:blipFill>
                    <a:blip r:embed="rId19"/>
                    <a:stretch>
                      <a:fillRect/>
                    </a:stretch>
                  </pic:blipFill>
                  <pic:spPr>
                    <a:xfrm>
                      <a:off x="0" y="0"/>
                      <a:ext cx="5760000" cy="2880000"/>
                    </a:xfrm>
                    <a:prstGeom prst="rect"/>
                  </pic:spPr>
                </pic:pic>
              </a:graphicData>
            </a:graphic>
          </wp:inline>
        </w:drawing>
      </w:r>
    </w:p>
    <w:p>
      <w:pPr>
        <w:spacing w:after="120"/>
        <w:jc w:val="center"/>
        <w:widowControl w:val="1"/>
      </w:pPr>
      <w:r>
        <w:rPr>
          <w:rFonts w:ascii="Aptos" w:hAnsi="Aptos" w:eastAsia="Aptos"/>
          <w:b w:val="0"/>
          <w:i/>
          <w:color w:val="555555"/>
          <w:sz w:val="17"/>
        </w:rPr>
        <w:t>Hình 11. NPV vẫn dương trong dải WACC 10%-25% của file Excel</w:t>
      </w:r>
    </w:p>
    <w:p>
      <w:pPr>
        <w:spacing w:line="274" w:lineRule="auto" w:after="100"/>
        <w:jc w:val="both"/>
        <w:widowControl w:val="1"/>
      </w:pPr>
      <w:r>
        <w:rPr>
          <w:rFonts w:ascii="Aptos" w:hAnsi="Aptos" w:eastAsia="Aptos"/>
          <w:b w:val="0"/>
          <w:i w:val="0"/>
          <w:color w:val="1F2937"/>
          <w:sz w:val="21"/>
        </w:rPr>
        <w:t>NPV 5.110 triệu đồng và IRR 34,95% cho thấy mô hình có biên sinh lợi trên chi phí vốn 14,32%. Tuy nhiên, đây là kết quả của mô hình 7 năm chứ không phải lợi nhuận đã ghi nhận. Hai biến quyết định là tốc độ tăng doanh nghiệp trả phí và tỷ lệ giao dịch thực sự đi qua nền tảng. Sau mỗi quý pilot, nhóm phải thay số lượng DN, GMV và chi phí thực tế vào file trước khi tiếp tục dùng NPV/IRR để gọi vốn.</w:t>
      </w:r>
    </w:p>
    <w:p>
      <w:pPr>
        <w:pStyle w:val="Heading2"/>
        <w:widowControl w:val="1"/>
      </w:pPr>
      <w:r>
        <w:t>5.10 Khả năng scale</w:t>
      </w:r>
    </w:p>
    <w:tbl>
      <w:tblPr>
        <w:tblW w:type="auto" w:w="0"/>
        <w:jc w:val="center"/>
        <w:tblLayout w:type="fixed"/>
        <w:tblLook w:firstColumn="1" w:firstRow="1" w:lastColumn="0" w:lastRow="0" w:noHBand="0" w:noVBand="1" w:val="04A0"/>
      </w:tblPr>
      <w:tblGrid>
        <w:gridCol w:w="2040"/>
        <w:gridCol w:w="2040"/>
        <w:gridCol w:w="2040"/>
        <w:gridCol w:w="2040"/>
        <w:gridCol w:w="2040"/>
      </w:tblGrid>
      <w:tr>
        <w:trPr>
          <w:tblHeader w:val="true"/>
          <w:cantSplit/>
        </w:trPr>
        <w:tc>
          <w:tcPr>
            <w:tcW w:type="dxa" w:w="1191"/>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8"/>
              </w:rPr>
              <w:t>Năm</w:t>
            </w:r>
          </w:p>
        </w:tc>
        <w:tc>
          <w:tcPr>
            <w:tcW w:type="dxa" w:w="1587"/>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8"/>
              </w:rPr>
              <w:t>DN đối tác</w:t>
            </w:r>
          </w:p>
        </w:tc>
        <w:tc>
          <w:tcPr>
            <w:tcW w:type="dxa" w:w="2381"/>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8"/>
              </w:rPr>
              <w:t>Doanh thu vận hành</w:t>
            </w:r>
          </w:p>
        </w:tc>
        <w:tc>
          <w:tcPr>
            <w:tcW w:type="dxa" w:w="2098"/>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8"/>
              </w:rPr>
              <w:t>Doanh thu/DN</w:t>
            </w:r>
          </w:p>
        </w:tc>
        <w:tc>
          <w:tcPr>
            <w:tcW w:type="dxa" w:w="1814"/>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8"/>
              </w:rPr>
              <w:t>Biên EBITDA</w:t>
            </w:r>
          </w:p>
        </w:tc>
      </w:tr>
      <w:tr>
        <w:trPr>
          <w:cantSplit/>
        </w:trPr>
        <w:tc>
          <w:tcPr>
            <w:tcW w:type="dxa" w:w="119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Năm 1</w:t>
            </w:r>
          </w:p>
        </w:tc>
        <w:tc>
          <w:tcPr>
            <w:tcW w:type="dxa" w:w="158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8</w:t>
            </w:r>
          </w:p>
        </w:tc>
        <w:tc>
          <w:tcPr>
            <w:tcW w:type="dxa" w:w="238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592</w:t>
            </w:r>
          </w:p>
        </w:tc>
        <w:tc>
          <w:tcPr>
            <w:tcW w:type="dxa" w:w="2098"/>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74,0</w:t>
            </w:r>
          </w:p>
        </w:tc>
        <w:tc>
          <w:tcPr>
            <w:tcW w:type="dxa" w:w="181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-151,5%</w:t>
            </w:r>
          </w:p>
        </w:tc>
      </w:tr>
      <w:tr>
        <w:trPr>
          <w:cantSplit/>
        </w:trPr>
        <w:tc>
          <w:tcPr>
            <w:tcW w:type="dxa" w:w="119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Năm 2</w:t>
            </w:r>
          </w:p>
        </w:tc>
        <w:tc>
          <w:tcPr>
            <w:tcW w:type="dxa" w:w="1587"/>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18</w:t>
            </w:r>
          </w:p>
        </w:tc>
        <w:tc>
          <w:tcPr>
            <w:tcW w:type="dxa" w:w="238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1.403</w:t>
            </w:r>
          </w:p>
        </w:tc>
        <w:tc>
          <w:tcPr>
            <w:tcW w:type="dxa" w:w="2098"/>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77,9</w:t>
            </w:r>
          </w:p>
        </w:tc>
        <w:tc>
          <w:tcPr>
            <w:tcW w:type="dxa" w:w="181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-34,6%</w:t>
            </w:r>
          </w:p>
        </w:tc>
      </w:tr>
      <w:tr>
        <w:trPr>
          <w:cantSplit/>
        </w:trPr>
        <w:tc>
          <w:tcPr>
            <w:tcW w:type="dxa" w:w="119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Năm 3</w:t>
            </w:r>
          </w:p>
        </w:tc>
        <w:tc>
          <w:tcPr>
            <w:tcW w:type="dxa" w:w="158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35</w:t>
            </w:r>
          </w:p>
        </w:tc>
        <w:tc>
          <w:tcPr>
            <w:tcW w:type="dxa" w:w="238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2.923</w:t>
            </w:r>
          </w:p>
        </w:tc>
        <w:tc>
          <w:tcPr>
            <w:tcW w:type="dxa" w:w="2098"/>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83,5</w:t>
            </w:r>
          </w:p>
        </w:tc>
        <w:tc>
          <w:tcPr>
            <w:tcW w:type="dxa" w:w="181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3,9%</w:t>
            </w:r>
          </w:p>
        </w:tc>
      </w:tr>
      <w:tr>
        <w:trPr>
          <w:cantSplit/>
        </w:trPr>
        <w:tc>
          <w:tcPr>
            <w:tcW w:type="dxa" w:w="119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Năm 4</w:t>
            </w:r>
          </w:p>
        </w:tc>
        <w:tc>
          <w:tcPr>
            <w:tcW w:type="dxa" w:w="1587"/>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60</w:t>
            </w:r>
          </w:p>
        </w:tc>
        <w:tc>
          <w:tcPr>
            <w:tcW w:type="dxa" w:w="238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5.448</w:t>
            </w:r>
          </w:p>
        </w:tc>
        <w:tc>
          <w:tcPr>
            <w:tcW w:type="dxa" w:w="2098"/>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90,8</w:t>
            </w:r>
          </w:p>
        </w:tc>
        <w:tc>
          <w:tcPr>
            <w:tcW w:type="dxa" w:w="181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22,3%</w:t>
            </w:r>
          </w:p>
        </w:tc>
      </w:tr>
      <w:tr>
        <w:trPr>
          <w:cantSplit/>
        </w:trPr>
        <w:tc>
          <w:tcPr>
            <w:tcW w:type="dxa" w:w="119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Năm 5</w:t>
            </w:r>
          </w:p>
        </w:tc>
        <w:tc>
          <w:tcPr>
            <w:tcW w:type="dxa" w:w="158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100</w:t>
            </w:r>
          </w:p>
        </w:tc>
        <w:tc>
          <w:tcPr>
            <w:tcW w:type="dxa" w:w="238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9.920</w:t>
            </w:r>
          </w:p>
        </w:tc>
        <w:tc>
          <w:tcPr>
            <w:tcW w:type="dxa" w:w="2098"/>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99,2</w:t>
            </w:r>
          </w:p>
        </w:tc>
        <w:tc>
          <w:tcPr>
            <w:tcW w:type="dxa" w:w="181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38,9%</w:t>
            </w:r>
          </w:p>
        </w:tc>
      </w:tr>
      <w:tr>
        <w:trPr>
          <w:cantSplit/>
        </w:trPr>
        <w:tc>
          <w:tcPr>
            <w:tcW w:type="dxa" w:w="119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Năm 6</w:t>
            </w:r>
          </w:p>
        </w:tc>
        <w:tc>
          <w:tcPr>
            <w:tcW w:type="dxa" w:w="1587"/>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170</w:t>
            </w:r>
          </w:p>
        </w:tc>
        <w:tc>
          <w:tcPr>
            <w:tcW w:type="dxa" w:w="238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18.292</w:t>
            </w:r>
          </w:p>
        </w:tc>
        <w:tc>
          <w:tcPr>
            <w:tcW w:type="dxa" w:w="2098"/>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107,6</w:t>
            </w:r>
          </w:p>
        </w:tc>
        <w:tc>
          <w:tcPr>
            <w:tcW w:type="dxa" w:w="1814"/>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47,9%</w:t>
            </w:r>
          </w:p>
        </w:tc>
      </w:tr>
      <w:tr>
        <w:trPr>
          <w:cantSplit/>
        </w:trPr>
        <w:tc>
          <w:tcPr>
            <w:tcW w:type="dxa" w:w="119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8"/>
              </w:rPr>
              <w:t>Năm 7</w:t>
            </w:r>
          </w:p>
        </w:tc>
        <w:tc>
          <w:tcPr>
            <w:tcW w:type="dxa" w:w="1587"/>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220</w:t>
            </w:r>
          </w:p>
        </w:tc>
        <w:tc>
          <w:tcPr>
            <w:tcW w:type="dxa" w:w="238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25.520</w:t>
            </w:r>
          </w:p>
        </w:tc>
        <w:tc>
          <w:tcPr>
            <w:tcW w:type="dxa" w:w="2098"/>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116,0</w:t>
            </w:r>
          </w:p>
        </w:tc>
        <w:tc>
          <w:tcPr>
            <w:tcW w:type="dxa" w:w="1814"/>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8"/>
              </w:rPr>
              <w:t>52,7%</w:t>
            </w:r>
          </w:p>
        </w:tc>
      </w:tr>
    </w:tbl>
    <w:p>
      <w:pPr>
        <w:spacing w:after="20"/>
        <w:widowControl w:val="1"/>
      </w:pPr>
    </w:p>
    <w:p>
      <w:pPr>
        <w:keepNext/>
        <w:jc w:val="center"/>
        <w:widowControl w:val="1"/>
      </w:pPr>
      <w:r>
        <w:drawing>
          <wp:inline xmlns:a="http://schemas.openxmlformats.org/drawingml/2006/main" xmlns:pic="http://schemas.openxmlformats.org/drawingml/2006/picture">
            <wp:extent cx="5760000" cy="2880000"/>
            <wp:docPr id="12" name="Picture 12"/>
            <wp:cNvGraphicFramePr>
              <a:graphicFrameLocks noChangeAspect="1"/>
            </wp:cNvGraphicFramePr>
            <a:graphic>
              <a:graphicData uri="http://schemas.openxmlformats.org/drawingml/2006/picture">
                <pic:pic>
                  <pic:nvPicPr>
                    <pic:cNvPr id="0" name="06_partners.png"/>
                    <pic:cNvPicPr/>
                  </pic:nvPicPr>
                  <pic:blipFill>
                    <a:blip r:embed="rId20"/>
                    <a:stretch>
                      <a:fillRect/>
                    </a:stretch>
                  </pic:blipFill>
                  <pic:spPr>
                    <a:xfrm>
                      <a:off x="0" y="0"/>
                      <a:ext cx="5760000" cy="2880000"/>
                    </a:xfrm>
                    <a:prstGeom prst="rect"/>
                  </pic:spPr>
                </pic:pic>
              </a:graphicData>
            </a:graphic>
          </wp:inline>
        </w:drawing>
      </w:r>
    </w:p>
    <w:p>
      <w:pPr>
        <w:spacing w:after="120"/>
        <w:jc w:val="center"/>
        <w:widowControl w:val="1"/>
      </w:pPr>
      <w:r>
        <w:rPr>
          <w:rFonts w:ascii="Aptos" w:hAnsi="Aptos" w:eastAsia="Aptos"/>
          <w:b w:val="0"/>
          <w:i/>
          <w:color w:val="555555"/>
          <w:sz w:val="17"/>
        </w:rPr>
        <w:t>Hình 12. Tăng trưởng số doanh nghiệp đối tác</w:t>
      </w:r>
    </w:p>
    <w:p>
      <w:pPr>
        <w:spacing w:line="274" w:lineRule="auto" w:after="100"/>
        <w:jc w:val="both"/>
        <w:widowControl w:val="1"/>
      </w:pPr>
      <w:r>
        <w:rPr>
          <w:rFonts w:ascii="Aptos" w:hAnsi="Aptos" w:eastAsia="Aptos"/>
          <w:b w:val="0"/>
          <w:i w:val="0"/>
          <w:color w:val="1F2937"/>
          <w:sz w:val="21"/>
        </w:rPr>
        <w:t>Số doanh nghiệp tăng từ 8 lên 220, tương đương CAGR 73,7% theo file. Doanh thu vận hành trên mỗi doanh nghiệp tăng từ khoảng 74 triệu lên 116 triệu đồng/năm nhờ hoa hồng giao dịch tăng bên cạnh phí thuê bao cố định. Đây là cơ sở để biên EBITDA tăng từ âm lên 52,7% ở Năm 7. Khả năng scale chỉ được xác nhận khi chi phí cloud, hỗ trợ và xử lý giao dịch trên mỗi DN không tăng nhanh hơn doanh thu trên mỗi DN.</w:t>
      </w:r>
    </w:p>
    <w:p>
      <w:pPr>
        <w:pStyle w:val="Heading2"/>
        <w:widowControl w:val="1"/>
      </w:pPr>
      <w:r>
        <w:t>5.11 Ảnh hưởng của lạm phát</w:t>
      </w:r>
    </w:p>
    <w:tbl>
      <w:tblPr>
        <w:tblW w:type="auto" w:w="0"/>
        <w:jc w:val="center"/>
        <w:tblLayout w:type="fixed"/>
        <w:tblLook w:firstColumn="1" w:firstRow="1" w:lastColumn="0" w:lastRow="0" w:noHBand="0" w:noVBand="1" w:val="04A0"/>
      </w:tblPr>
      <w:tblGrid>
        <w:gridCol w:w="2040"/>
        <w:gridCol w:w="2040"/>
        <w:gridCol w:w="2040"/>
        <w:gridCol w:w="2040"/>
        <w:gridCol w:w="2040"/>
      </w:tblGrid>
      <w:tr>
        <w:trPr>
          <w:tblHeader w:val="true"/>
          <w:cantSplit/>
        </w:trPr>
        <w:tc>
          <w:tcPr>
            <w:tcW w:type="dxa" w:w="1191"/>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7"/>
              </w:rPr>
              <w:t>Năm</w:t>
            </w:r>
          </w:p>
        </w:tc>
        <w:tc>
          <w:tcPr>
            <w:tcW w:type="dxa" w:w="2041"/>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7"/>
              </w:rPr>
              <w:t>Doanh thu danh nghĩa</w:t>
            </w:r>
          </w:p>
        </w:tc>
        <w:tc>
          <w:tcPr>
            <w:tcW w:type="dxa" w:w="1871"/>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7"/>
              </w:rPr>
              <w:t>Doanh thu thực</w:t>
            </w:r>
          </w:p>
        </w:tc>
        <w:tc>
          <w:tcPr>
            <w:tcW w:type="dxa" w:w="2041"/>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7"/>
              </w:rPr>
              <w:t>EBITDA danh nghĩa</w:t>
            </w:r>
          </w:p>
        </w:tc>
        <w:tc>
          <w:tcPr>
            <w:tcW w:type="dxa" w:w="1871"/>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7"/>
              </w:rPr>
              <w:t>EBITDA thực</w:t>
            </w:r>
          </w:p>
        </w:tc>
      </w:tr>
      <w:tr>
        <w:trPr>
          <w:cantSplit/>
        </w:trPr>
        <w:tc>
          <w:tcPr>
            <w:tcW w:type="dxa" w:w="119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Năm 1</w:t>
            </w:r>
          </w:p>
        </w:tc>
        <w:tc>
          <w:tcPr>
            <w:tcW w:type="dxa" w:w="204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592</w:t>
            </w:r>
          </w:p>
        </w:tc>
        <w:tc>
          <w:tcPr>
            <w:tcW w:type="dxa" w:w="187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567</w:t>
            </w:r>
          </w:p>
        </w:tc>
        <w:tc>
          <w:tcPr>
            <w:tcW w:type="dxa" w:w="204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C73E3A"/>
                <w:sz w:val="17"/>
              </w:rPr>
              <w:t>(897)</w:t>
            </w:r>
          </w:p>
        </w:tc>
        <w:tc>
          <w:tcPr>
            <w:tcW w:type="dxa" w:w="187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C73E3A"/>
                <w:sz w:val="17"/>
              </w:rPr>
              <w:t>(858)</w:t>
            </w:r>
          </w:p>
        </w:tc>
      </w:tr>
      <w:tr>
        <w:trPr>
          <w:cantSplit/>
        </w:trPr>
        <w:tc>
          <w:tcPr>
            <w:tcW w:type="dxa" w:w="119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Năm 2</w:t>
            </w:r>
          </w:p>
        </w:tc>
        <w:tc>
          <w:tcPr>
            <w:tcW w:type="dxa" w:w="204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1.403</w:t>
            </w:r>
          </w:p>
        </w:tc>
        <w:tc>
          <w:tcPr>
            <w:tcW w:type="dxa" w:w="187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1.284</w:t>
            </w:r>
          </w:p>
        </w:tc>
        <w:tc>
          <w:tcPr>
            <w:tcW w:type="dxa" w:w="204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C73E3A"/>
                <w:sz w:val="17"/>
              </w:rPr>
              <w:t>(485)</w:t>
            </w:r>
          </w:p>
        </w:tc>
        <w:tc>
          <w:tcPr>
            <w:tcW w:type="dxa" w:w="187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C73E3A"/>
                <w:sz w:val="17"/>
              </w:rPr>
              <w:t>(444)</w:t>
            </w:r>
          </w:p>
        </w:tc>
      </w:tr>
      <w:tr>
        <w:trPr>
          <w:cantSplit/>
        </w:trPr>
        <w:tc>
          <w:tcPr>
            <w:tcW w:type="dxa" w:w="119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Năm 3</w:t>
            </w:r>
          </w:p>
        </w:tc>
        <w:tc>
          <w:tcPr>
            <w:tcW w:type="dxa" w:w="204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2.923</w:t>
            </w:r>
          </w:p>
        </w:tc>
        <w:tc>
          <w:tcPr>
            <w:tcW w:type="dxa" w:w="187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2.562</w:t>
            </w:r>
          </w:p>
        </w:tc>
        <w:tc>
          <w:tcPr>
            <w:tcW w:type="dxa" w:w="204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114</w:t>
            </w:r>
          </w:p>
        </w:tc>
        <w:tc>
          <w:tcPr>
            <w:tcW w:type="dxa" w:w="187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100</w:t>
            </w:r>
          </w:p>
        </w:tc>
      </w:tr>
      <w:tr>
        <w:trPr>
          <w:cantSplit/>
        </w:trPr>
        <w:tc>
          <w:tcPr>
            <w:tcW w:type="dxa" w:w="119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Năm 4</w:t>
            </w:r>
          </w:p>
        </w:tc>
        <w:tc>
          <w:tcPr>
            <w:tcW w:type="dxa" w:w="204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5.448</w:t>
            </w:r>
          </w:p>
        </w:tc>
        <w:tc>
          <w:tcPr>
            <w:tcW w:type="dxa" w:w="187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4.568</w:t>
            </w:r>
          </w:p>
        </w:tc>
        <w:tc>
          <w:tcPr>
            <w:tcW w:type="dxa" w:w="204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1.215</w:t>
            </w:r>
          </w:p>
        </w:tc>
        <w:tc>
          <w:tcPr>
            <w:tcW w:type="dxa" w:w="187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1.019</w:t>
            </w:r>
          </w:p>
        </w:tc>
      </w:tr>
      <w:tr>
        <w:trPr>
          <w:cantSplit/>
        </w:trPr>
        <w:tc>
          <w:tcPr>
            <w:tcW w:type="dxa" w:w="119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Năm 5</w:t>
            </w:r>
          </w:p>
        </w:tc>
        <w:tc>
          <w:tcPr>
            <w:tcW w:type="dxa" w:w="204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9.920</w:t>
            </w:r>
          </w:p>
        </w:tc>
        <w:tc>
          <w:tcPr>
            <w:tcW w:type="dxa" w:w="187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7.960</w:t>
            </w:r>
          </w:p>
        </w:tc>
        <w:tc>
          <w:tcPr>
            <w:tcW w:type="dxa" w:w="204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3.862</w:t>
            </w:r>
          </w:p>
        </w:tc>
        <w:tc>
          <w:tcPr>
            <w:tcW w:type="dxa" w:w="187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3.099</w:t>
            </w:r>
          </w:p>
        </w:tc>
      </w:tr>
      <w:tr>
        <w:trPr>
          <w:cantSplit/>
        </w:trPr>
        <w:tc>
          <w:tcPr>
            <w:tcW w:type="dxa" w:w="119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Năm 6</w:t>
            </w:r>
          </w:p>
        </w:tc>
        <w:tc>
          <w:tcPr>
            <w:tcW w:type="dxa" w:w="204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18.292</w:t>
            </w:r>
          </w:p>
        </w:tc>
        <w:tc>
          <w:tcPr>
            <w:tcW w:type="dxa" w:w="187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14.046</w:t>
            </w:r>
          </w:p>
        </w:tc>
        <w:tc>
          <w:tcPr>
            <w:tcW w:type="dxa" w:w="204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8.755</w:t>
            </w:r>
          </w:p>
        </w:tc>
        <w:tc>
          <w:tcPr>
            <w:tcW w:type="dxa" w:w="1871"/>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6.723</w:t>
            </w:r>
          </w:p>
        </w:tc>
      </w:tr>
      <w:tr>
        <w:trPr>
          <w:cantSplit/>
        </w:trPr>
        <w:tc>
          <w:tcPr>
            <w:tcW w:type="dxa" w:w="119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Năm 7</w:t>
            </w:r>
          </w:p>
        </w:tc>
        <w:tc>
          <w:tcPr>
            <w:tcW w:type="dxa" w:w="204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25.520</w:t>
            </w:r>
          </w:p>
        </w:tc>
        <w:tc>
          <w:tcPr>
            <w:tcW w:type="dxa" w:w="187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20.628</w:t>
            </w:r>
          </w:p>
        </w:tc>
        <w:tc>
          <w:tcPr>
            <w:tcW w:type="dxa" w:w="204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14.805</w:t>
            </w:r>
          </w:p>
        </w:tc>
        <w:tc>
          <w:tcPr>
            <w:tcW w:type="dxa" w:w="1871"/>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10.879</w:t>
            </w:r>
          </w:p>
        </w:tc>
      </w:tr>
    </w:tbl>
    <w:p>
      <w:pPr>
        <w:spacing w:after="20"/>
        <w:widowControl w:val="1"/>
      </w:pPr>
    </w:p>
    <w:p>
      <w:pPr>
        <w:keepNext/>
        <w:jc w:val="center"/>
        <w:widowControl w:val="1"/>
      </w:pPr>
      <w:r>
        <w:drawing>
          <wp:inline xmlns:a="http://schemas.openxmlformats.org/drawingml/2006/main" xmlns:pic="http://schemas.openxmlformats.org/drawingml/2006/picture">
            <wp:extent cx="5760000" cy="2880000"/>
            <wp:docPr id="13" name="Picture 13"/>
            <wp:cNvGraphicFramePr>
              <a:graphicFrameLocks noChangeAspect="1"/>
            </wp:cNvGraphicFramePr>
            <a:graphic>
              <a:graphicData uri="http://schemas.openxmlformats.org/drawingml/2006/picture">
                <pic:pic>
                  <pic:nvPicPr>
                    <pic:cNvPr id="0" name="12_real_nominal.png"/>
                    <pic:cNvPicPr/>
                  </pic:nvPicPr>
                  <pic:blipFill>
                    <a:blip r:embed="rId21"/>
                    <a:stretch>
                      <a:fillRect/>
                    </a:stretch>
                  </pic:blipFill>
                  <pic:spPr>
                    <a:xfrm>
                      <a:off x="0" y="0"/>
                      <a:ext cx="5760000" cy="2880000"/>
                    </a:xfrm>
                    <a:prstGeom prst="rect"/>
                  </pic:spPr>
                </pic:pic>
              </a:graphicData>
            </a:graphic>
          </wp:inline>
        </w:drawing>
      </w:r>
    </w:p>
    <w:p>
      <w:pPr>
        <w:spacing w:after="120"/>
        <w:jc w:val="center"/>
        <w:widowControl w:val="1"/>
      </w:pPr>
      <w:r>
        <w:rPr>
          <w:rFonts w:ascii="Aptos" w:hAnsi="Aptos" w:eastAsia="Aptos"/>
          <w:b w:val="0"/>
          <w:i/>
          <w:color w:val="555555"/>
          <w:sz w:val="17"/>
        </w:rPr>
        <w:t>Hình 13. Chênh lệch doanh thu danh nghĩa và doanh thu thực sau CPI 4,5%</w:t>
      </w:r>
    </w:p>
    <w:p>
      <w:pPr>
        <w:spacing w:line="274" w:lineRule="auto" w:after="100"/>
        <w:jc w:val="both"/>
        <w:widowControl w:val="1"/>
      </w:pPr>
      <w:r>
        <w:rPr>
          <w:rFonts w:ascii="Aptos" w:hAnsi="Aptos" w:eastAsia="Aptos"/>
          <w:b w:val="0"/>
          <w:i w:val="0"/>
          <w:color w:val="1F2937"/>
          <w:sz w:val="21"/>
        </w:rPr>
        <w:t>File sử dụng CPI 4,5%/năm. Doanh thu Năm 7 là 25.520 triệu đồng theo giá danh nghĩa nhưng sức mua thực thấp hơn. Vì vậy, quyết định tuyển dụng, thuê hạ tầng và giá gói dịch vụ phải dựa trên cả biên danh nghĩa và biên thực, tránh nhầm tăng giá tiền tệ với tăng hiệu quả kinh doanh.</w:t>
      </w:r>
    </w:p>
    <w:p>
      <w:pPr>
        <w:pStyle w:val="Heading2"/>
        <w:widowControl w:val="1"/>
      </w:pPr>
      <w:r>
        <w:t>5.12 Các điểm phải khóa trước khi nộp hồ sơ hoặc gọi vốn</w:t>
      </w:r>
    </w:p>
    <w:tbl>
      <w:tblPr>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2268"/>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7"/>
              </w:rPr>
              <w:t>Vấn đề</w:t>
            </w:r>
          </w:p>
        </w:tc>
        <w:tc>
          <w:tcPr>
            <w:tcW w:type="dxa" w:w="3969"/>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7"/>
              </w:rPr>
              <w:t>Hiện trạng</w:t>
            </w:r>
          </w:p>
        </w:tc>
        <w:tc>
          <w:tcPr>
            <w:tcW w:type="dxa" w:w="3402"/>
            <w:shd w:fill="163A5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i w:val="0"/>
                <w:color w:val="FFFFFF"/>
                <w:sz w:val="17"/>
              </w:rPr>
              <w:t>Hành động</w:t>
            </w:r>
          </w:p>
        </w:tc>
      </w:tr>
      <w:tr>
        <w:trPr>
          <w:cantSplit/>
        </w:trPr>
        <w:tc>
          <w:tcPr>
            <w:tcW w:type="dxa" w:w="2268"/>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Doanh thu Năm 7</w:t>
            </w:r>
          </w:p>
        </w:tc>
        <w:tc>
          <w:tcPr>
            <w:tcW w:type="dxa" w:w="3969"/>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Tách 25.520 triệu doanh thu vận hành khỏi 2.552 triệu thu hồi vốn lưu động</w:t>
            </w:r>
          </w:p>
        </w:tc>
        <w:tc>
          <w:tcPr>
            <w:tcW w:type="dxa" w:w="3402"/>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Sửa đồng thời công thức Opex, thuế và lợi nhuận Năm 7 để không dùng khoản thu hồi làm doanh thu</w:t>
            </w:r>
          </w:p>
        </w:tc>
      </w:tr>
      <w:tr>
        <w:trPr>
          <w:cantSplit/>
        </w:trPr>
        <w:tc>
          <w:tcPr>
            <w:tcW w:type="dxa" w:w="2268"/>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Tỷ lệ giao dịch trả sau</w:t>
            </w:r>
          </w:p>
        </w:tc>
        <w:tc>
          <w:tcPr>
            <w:tcW w:type="dxa" w:w="3969"/>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Ô giả định ghi 5,95% nhưng công thức doanh thu đang dùng 6%</w:t>
            </w:r>
          </w:p>
        </w:tc>
        <w:tc>
          <w:tcPr>
            <w:tcW w:type="dxa" w:w="3402"/>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Chọn một tỷ lệ và cập nhật toàn bộ mô hình</w:t>
            </w:r>
          </w:p>
        </w:tc>
      </w:tr>
      <w:tr>
        <w:trPr>
          <w:cantSplit/>
        </w:trPr>
        <w:tc>
          <w:tcPr>
            <w:tcW w:type="dxa" w:w="2268"/>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Tăng lương</w:t>
            </w:r>
          </w:p>
        </w:tc>
        <w:tc>
          <w:tcPr>
            <w:tcW w:type="dxa" w:w="3969"/>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Ô giả định là 5% nhưng ghi chú tại một số sheet còn 7%</w:t>
            </w:r>
          </w:p>
        </w:tc>
        <w:tc>
          <w:tcPr>
            <w:tcW w:type="dxa" w:w="3402"/>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Khóa một tỷ lệ chính thức</w:t>
            </w:r>
          </w:p>
        </w:tc>
      </w:tr>
      <w:tr>
        <w:trPr>
          <w:cantSplit/>
        </w:trPr>
        <w:tc>
          <w:tcPr>
            <w:tcW w:type="dxa" w:w="2268"/>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Tỷ lệ Marketing và R&amp;D</w:t>
            </w:r>
          </w:p>
        </w:tc>
        <w:tc>
          <w:tcPr>
            <w:tcW w:type="dxa" w:w="3969"/>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Công thức dùng 12% và 10% nhưng nhãn tại bảng ngân lưu còn ghi 15% và 12%</w:t>
            </w:r>
          </w:p>
        </w:tc>
        <w:tc>
          <w:tcPr>
            <w:tcW w:type="dxa" w:w="3402"/>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Đồng bộ nhãn với công thức 12% và 10%</w:t>
            </w:r>
          </w:p>
        </w:tc>
      </w:tr>
      <w:tr>
        <w:trPr>
          <w:cantSplit/>
        </w:trPr>
        <w:tc>
          <w:tcPr>
            <w:tcW w:type="dxa" w:w="2268"/>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Vốn vay</w:t>
            </w:r>
          </w:p>
        </w:tc>
        <w:tc>
          <w:tcPr>
            <w:tcW w:type="dxa" w:w="3969"/>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Công thức và lịch trả nợ dùng 1.036 triệu nhưng dòng mô tả trên sheet còn ghi 957 triệu</w:t>
            </w:r>
          </w:p>
        </w:tc>
        <w:tc>
          <w:tcPr>
            <w:tcW w:type="dxa" w:w="3402"/>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Sửa dòng mô tả thành 1.036 triệu</w:t>
            </w:r>
          </w:p>
        </w:tc>
      </w:tr>
      <w:tr>
        <w:trPr>
          <w:cantSplit/>
        </w:trPr>
        <w:tc>
          <w:tcPr>
            <w:tcW w:type="dxa" w:w="2268"/>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Chi phí vốn chủ</w:t>
            </w:r>
          </w:p>
        </w:tc>
        <w:tc>
          <w:tcPr>
            <w:tcW w:type="dxa" w:w="3969"/>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Ô giả định dùng 18% nhưng ghi chú WACC tại sheet ngân lưu còn ghi Re=20%</w:t>
            </w:r>
          </w:p>
        </w:tc>
        <w:tc>
          <w:tcPr>
            <w:tcW w:type="dxa" w:w="3402"/>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Giữ Re=18% nếu tiếp tục dùng WACC 14,32%</w:t>
            </w:r>
          </w:p>
        </w:tc>
      </w:tr>
      <w:tr>
        <w:trPr>
          <w:cantSplit/>
        </w:trPr>
        <w:tc>
          <w:tcPr>
            <w:tcW w:type="dxa" w:w="2268"/>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Giai đoạn 7 năm</w:t>
            </w:r>
          </w:p>
        </w:tc>
        <w:tc>
          <w:tcPr>
            <w:tcW w:type="dxa" w:w="3969"/>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Một sheet ghi 2026-2034; bảy năm liên tục phải là 2026-2032</w:t>
            </w:r>
          </w:p>
        </w:tc>
        <w:tc>
          <w:tcPr>
            <w:tcW w:type="dxa" w:w="3402"/>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Dùng Năm 1-Năm 7 hoặc sửa niên độ</w:t>
            </w:r>
          </w:p>
        </w:tc>
      </w:tr>
      <w:tr>
        <w:trPr>
          <w:cantSplit/>
        </w:trPr>
        <w:tc>
          <w:tcPr>
            <w:tcW w:type="dxa" w:w="2268"/>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Phân tích doanh thu nhạy cảm</w:t>
            </w:r>
          </w:p>
        </w:tc>
        <w:tc>
          <w:tcPr>
            <w:tcW w:type="dxa" w:w="3969"/>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Bảng NPV theo 50%-150% doanh thu trong Excel không tăng đơn điệu</w:t>
            </w:r>
          </w:p>
        </w:tc>
        <w:tc>
          <w:tcPr>
            <w:tcW w:type="dxa" w:w="3402"/>
            <w:shd w:fill="EDF4F8"/>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Không sử dụng bảng này cho tới khi sửa công thức</w:t>
            </w:r>
          </w:p>
        </w:tc>
      </w:tr>
      <w:tr>
        <w:trPr>
          <w:cantSplit/>
        </w:trPr>
        <w:tc>
          <w:tcPr>
            <w:tcW w:type="dxa" w:w="2268"/>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left"/>
            </w:pPr>
            <w:r>
              <w:rPr>
                <w:rFonts w:ascii="Aptos" w:hAnsi="Aptos" w:eastAsia="Aptos"/>
                <w:b w:val="0"/>
                <w:i w:val="0"/>
                <w:color w:val="1F2937"/>
                <w:sz w:val="17"/>
              </w:rPr>
              <w:t>Nguồn vốn vận hành</w:t>
            </w:r>
          </w:p>
        </w:tc>
        <w:tc>
          <w:tcPr>
            <w:tcW w:type="dxa" w:w="3969"/>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Phải chứng minh khả năng tiếp cận thêm 2.402 triệu</w:t>
            </w:r>
          </w:p>
        </w:tc>
        <w:tc>
          <w:tcPr>
            <w:tcW w:type="dxa" w:w="3402"/>
            <w:shd w:fill="FFFFFF"/>
            <w:tcBorders>
              <w:top w:val="single" w:sz="4" w:color="D7DEE5"/>
              <w:left w:val="single" w:sz="4" w:color="D7DEE5"/>
              <w:bottom w:val="single" w:sz="4" w:color="D7DEE5"/>
              <w:right w:val="single" w:sz="4" w:color="D7DEE5"/>
            </w:tcBorders>
            <w:tcMar>
              <w:top w:w="90" w:type="dxa"/>
              <w:start w:w="90" w:type="dxa"/>
              <w:bottom w:w="90" w:type="dxa"/>
              <w:end w:w="90" w:type="dxa"/>
            </w:tcMar>
            <w:vAlign w:val="center"/>
          </w:tcPr>
          <w:p>
            <w:pPr>
              <w:jc w:val="center"/>
            </w:pPr>
            <w:r>
              <w:rPr>
                <w:rFonts w:ascii="Aptos" w:hAnsi="Aptos" w:eastAsia="Aptos"/>
                <w:b w:val="0"/>
                <w:i w:val="0"/>
                <w:color w:val="1F2937"/>
                <w:sz w:val="17"/>
              </w:rPr>
              <w:t>Không triển khai toàn bộ capex nếu chưa khóa runway</w:t>
            </w:r>
          </w:p>
        </w:tc>
      </w:tr>
    </w:tbl>
    <w:p>
      <w:pPr>
        <w:spacing w:after="20"/>
        <w:widowControl w:val="1"/>
      </w:pPr>
    </w:p>
    <w:p>
      <w:pPr>
        <w:pStyle w:val="Heading2"/>
        <w:widowControl w:val="1"/>
      </w:pPr>
      <w:r>
        <w:t>5.13 Cơ chế kiểm soát để con số biến thành kết quả thực</w:t>
      </w:r>
    </w:p>
    <w:p>
      <w:pPr>
        <w:pStyle w:val="ListBullet"/>
        <w:spacing w:after="60"/>
        <w:widowControl w:val="1"/>
      </w:pPr>
      <w:r>
        <w:rPr>
          <w:rFonts w:ascii="Aptos" w:hAnsi="Aptos" w:eastAsia="Aptos"/>
          <w:b w:val="0"/>
          <w:i w:val="0"/>
          <w:color w:val="1F2937"/>
          <w:sz w:val="20"/>
        </w:rPr>
        <w:t>Giải ngân phát triển ứng dụng theo nghiệm thu: MVP, dữ liệu/cảnh báo, giao dịch/uy tín, tích hợp đối tác.</w:t>
      </w:r>
    </w:p>
    <w:p>
      <w:pPr>
        <w:pStyle w:val="ListBullet"/>
        <w:spacing w:after="60"/>
        <w:widowControl w:val="1"/>
      </w:pPr>
      <w:r>
        <w:rPr>
          <w:rFonts w:ascii="Aptos" w:hAnsi="Aptos" w:eastAsia="Aptos"/>
          <w:b w:val="0"/>
          <w:i w:val="0"/>
          <w:color w:val="1F2937"/>
          <w:sz w:val="20"/>
        </w:rPr>
        <w:t>Mỗi tháng theo dõi bốn số bắt buộc: DN đang trả phí, doanh thu định kỳ, GMV hoàn tất và tiền cuối kỳ.</w:t>
      </w:r>
    </w:p>
    <w:p>
      <w:pPr>
        <w:pStyle w:val="ListBullet"/>
        <w:spacing w:after="60"/>
        <w:widowControl w:val="1"/>
      </w:pPr>
      <w:r>
        <w:rPr>
          <w:rFonts w:ascii="Aptos" w:hAnsi="Aptos" w:eastAsia="Aptos"/>
          <w:b w:val="0"/>
          <w:i w:val="0"/>
          <w:color w:val="1F2937"/>
          <w:sz w:val="20"/>
        </w:rPr>
        <w:t>Không tính lead, đăng ký hoặc bài đăng là giao dịch. Chỉ ghi nhận hoa hồng khi giao dịch hoàn tất và đối soát được.</w:t>
      </w:r>
    </w:p>
    <w:p>
      <w:pPr>
        <w:pStyle w:val="ListBullet"/>
        <w:spacing w:after="60"/>
        <w:widowControl w:val="1"/>
      </w:pPr>
      <w:r>
        <w:rPr>
          <w:rFonts w:ascii="Aptos" w:hAnsi="Aptos" w:eastAsia="Aptos"/>
          <w:b w:val="0"/>
          <w:i w:val="0"/>
          <w:color w:val="1F2937"/>
          <w:sz w:val="20"/>
        </w:rPr>
        <w:t>Dừng tuyển dụng và capex chưa thiết yếu nếu runway xuống dưới 9 tháng hoặc doanh thu đạt dưới 75% kế hoạch hai quý liên tiếp.</w:t>
      </w:r>
    </w:p>
    <w:p>
      <w:pPr>
        <w:pStyle w:val="ListBullet"/>
        <w:spacing w:after="60"/>
        <w:widowControl w:val="1"/>
      </w:pPr>
      <w:r>
        <w:rPr>
          <w:rFonts w:ascii="Aptos" w:hAnsi="Aptos" w:eastAsia="Aptos"/>
          <w:b w:val="0"/>
          <w:i w:val="0"/>
          <w:color w:val="1F2937"/>
          <w:sz w:val="20"/>
        </w:rPr>
        <w:t>Không tăng vay thương mại khi EBITDA và dòng tiền trả nợ chưa dương; ưu tiên nguồn vốn chia sẻ rủi ro ở giai đoạn đầu.</w:t>
      </w:r>
    </w:p>
    <w:p>
      <w:pPr>
        <w:pStyle w:val="ListBullet"/>
        <w:spacing w:after="60"/>
        <w:widowControl w:val="1"/>
      </w:pPr>
      <w:r>
        <w:rPr>
          <w:rFonts w:ascii="Aptos" w:hAnsi="Aptos" w:eastAsia="Aptos"/>
          <w:b w:val="0"/>
          <w:i w:val="0"/>
          <w:color w:val="1F2937"/>
          <w:sz w:val="20"/>
        </w:rPr>
        <w:t>Cập nhật lại NPV/IRR hàng quý bằng dữ liệu đã phát sinh, không dùng cố định bộ giả định ban đầu để thuyết phục nhà đầu tư.</w:t>
      </w:r>
    </w:p>
    <w:p>
      <w:pPr>
        <w:pStyle w:val="Heading2"/>
        <w:widowControl w:val="1"/>
      </w:pPr>
      <w:r>
        <w:t>5.14 Kết luận tài chính</w:t>
      </w:r>
    </w:p>
    <w:p>
      <w:pPr>
        <w:spacing w:line="274" w:lineRule="auto" w:after="100"/>
        <w:jc w:val="both"/>
        <w:widowControl w:val="1"/>
      </w:pPr>
      <w:r>
        <w:rPr>
          <w:rFonts w:ascii="Aptos" w:hAnsi="Aptos" w:eastAsia="Aptos"/>
          <w:b w:val="0"/>
          <w:i w:val="0"/>
          <w:color w:val="1F2937"/>
          <w:sz w:val="21"/>
        </w:rPr>
        <w:t>Mô hình cho thấy Champ Mạnh Chat có thể đạt hòa vốn EBITDA ở Năm 3, lợi nhuận ròng dương ở Năm 4 và hoàn vốn khoảng 5,16 năm nếu tăng trưởng đúng số doanh nghiệp và giao dịch trong file. Giá trị tài chính nằm ở việc kết hợp doanh thu thuê bao định kỳ với phí giao dịch, trong khi chi phí cố định được hấp thụ dần khi quy mô tăng. NPV dương 5.110 triệu đồng, IRR 34,95% và MIRR 30,02% cho thấy dư địa sinh lợi trên WACC 14,32%.</w:t>
      </w:r>
    </w:p>
    <w:p>
      <w:pPr>
        <w:spacing w:line="274" w:lineRule="auto" w:after="100"/>
        <w:jc w:val="both"/>
        <w:widowControl w:val="1"/>
      </w:pPr>
      <w:r>
        <w:rPr>
          <w:rFonts w:ascii="Aptos" w:hAnsi="Aptos" w:eastAsia="Aptos"/>
          <w:b w:val="0"/>
          <w:i w:val="0"/>
          <w:color w:val="1F2937"/>
          <w:sz w:val="21"/>
        </w:rPr>
        <w:t>Điểm phải xử lý trước khi triển khai là vốn. Tổng đầu tư tài sản 2.590 triệu đồng chưa bao gồm đủ buffer vận hành; dự án cần khóa thêm khoảng 2.402 triệu đồng để đi qua ba năm dòng tiền âm. Kế hoạch được đánh giá cao không phải vì con số lợi nhuận lớn nhất, mà vì đội thi nhìn thấy đúng khoảng thiếu tiền, tách đúng doanh thu khỏi thu hồi vốn lưu động và chỉ mở rộng khi khách hàng trả phí cùng dòng tiền thực xác nhận mô hình.</w:t>
      </w:r>
    </w:p>
    <w:p>
      <w:pPr>
        <w:spacing w:before="160"/>
        <w:widowControl w:val="1"/>
      </w:pPr>
      <w:r>
        <w:rPr>
          <w:rFonts w:ascii="Aptos" w:hAnsi="Aptos" w:eastAsia="Aptos"/>
          <w:b w:val="0"/>
          <w:i/>
          <w:color w:val="555555"/>
          <w:sz w:val="18"/>
        </w:rPr>
        <w:t>Nguồn số liệu: BÁO CÁO TÀI CHÍNH SUZ2026 (4).xlsx. Đơn vị trong tài liệu là triệu đồng, trừ khi ghi chú khác. Các chỉ tiêu NPV, IRR, MIRR, lợi nhuận và hoàn vốn là kết quả tính toán của mô hình tài chính 7 năm, không phải doanh thu hoặc lợi nhuận đã thực hiện.</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w:hAnsi="Aptos" w:eastAsia="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eastAsia="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eastAsia="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80"/>
      <w:contextualSpacing/>
    </w:pPr>
    <w:rPr>
      <w:rFonts w:asciiTheme="majorHAnsi" w:eastAsiaTheme="majorEastAsia" w:hAnsiTheme="majorHAnsi" w:cstheme="majorBidi" w:ascii="Aptos" w:hAnsi="Aptos" w:eastAsia="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Phần 5 - Dự kiến tài chính final</dc:title>
  <dc:subject>Dự án Champ Mạnh Chat - Startup Zone 2026</dc:subject>
  <dc:creator>Nhóm dự án Champ Mạnh Chat</dc:creator>
  <cp:keywords/>
  <dc:description>generated by python-docx</dc:description>
  <cp:lastModifiedBy/>
  <cp:revision>1</cp:revision>
  <dcterms:created xsi:type="dcterms:W3CDTF">2013-12-23T23:15:00Z</dcterms:created>
  <dcterms:modified xsi:type="dcterms:W3CDTF">2013-12-23T23:15:00Z</dcterms:modified>
  <cp:category/>
</cp:coreProperties>
</file>