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Grundstruktur der vier Evangelien</w:t>
      </w:r>
    </w:p>
    <w:p>
      <w:r>
        <w:t>Lernübersicht mit groben Abschnitten und wichtigen Übergängen</w:t>
      </w:r>
    </w:p>
    <w:p>
      <w:r>
        <w:t>Zuerst die Hauptabschnitte und ihre Reihenfolge lernen, danach die Kapitelgrenzen. Die Tabellen bilden den Erzählverlauf ab. Versangaben stehen dort, wo ein wichtiger Übergang innerhalb eines Kapitels liegt. Es handelt sich um eine vereinfachte Lernstruktur, nicht um eine einheitlich verbindliche Gliederung der Forschung.</w:t>
      </w:r>
    </w:p>
    <w:p>
      <w:pPr>
        <w:pStyle w:val="Heading1"/>
      </w:pPr>
      <w:r>
        <w:t>Matthäus</w:t>
      </w:r>
    </w:p>
    <w:p>
      <w:r>
        <w:t>28 Kapitel · Jesus als Messias und Lehrer · Erzählungen und große Reden wechseln sich ab.</w:t>
      </w:r>
    </w:p>
    <w:tbl>
      <w:tblPr>
        <w:tblW w:type="auto" w:w="0"/>
        <w:jc w:val="center"/>
        <w:tblLayout w:type="fixed"/>
        <w:tblLook w:firstColumn="1" w:firstRow="1" w:lastColumn="0" w:lastRow="0" w:noHBand="0" w:noVBand="1" w:val="04A0"/>
      </w:tblPr>
      <w:tblGrid>
        <w:gridCol w:w="1642"/>
        <w:gridCol w:w="2650"/>
        <w:gridCol w:w="5933"/>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Textbereich</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Hauptabschnitt</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Inhalt zum Einordnen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1–2</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Herkunft und Kindheit</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Stammbaum, Geburt, Magier, Flucht nach Ägypten.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3,1–4,11</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Vorbereitung</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Johannes der Täufer, Taufe Jesu, Versuchung.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4,12–18,35</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Öffentliches Wirken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Vor allem Galiläa und Umgebung; Lehre, Heilungen, Gleichnisse, Jünger und wachsende Konflikte.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19–20</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Weg nach Jerusalem</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Aufbruch aus Galiläa; Nachfolge, Dienst und Leiden.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21–25</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Jerusalem und letzte Lehre</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Einzug, Tempel, Streitgespräche, Gericht und Wachsamkeit.</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26–27</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Passion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Letztes Mahl, Gefangennahme, Prozess, Kreuzigung und Grablegung.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28</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Auferstehung und Sendung</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Leeres Grab, Begegnungen und Auftrag an die Jünger.</w:t>
            </w:r>
          </w:p>
        </w:tc>
      </w:tr>
    </w:tbl>
    <w:p>
      <w:pPr>
        <w:spacing w:after="0"/>
      </w:pPr>
    </w:p>
    <w:p>
      <w:pPr>
        <w:pStyle w:val="Heading2"/>
      </w:pPr>
      <w:r>
        <w:t>Die fünf großen Reden</w:t>
      </w:r>
    </w:p>
    <w:tbl>
      <w:tblPr>
        <w:tblW w:type="auto" w:w="0"/>
        <w:jc w:val="center"/>
        <w:tblLayout w:type="fixed"/>
        <w:tblLook w:firstColumn="1" w:firstRow="1" w:lastColumn="0" w:lastRow="0" w:noHBand="0" w:noVBand="1" w:val="04A0"/>
      </w:tblPr>
      <w:tblGrid>
        <w:gridCol w:w="1642"/>
        <w:gridCol w:w="8582"/>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Kapitel</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Rede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5–7</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Bergpredigt</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10</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Aussendungsrede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13</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Gleichnisrede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18</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Gemeinderede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24–25</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Endzeitrede</w:t>
            </w:r>
          </w:p>
        </w:tc>
      </w:tr>
    </w:tbl>
    <w:p>
      <w:pPr>
        <w:spacing w:after="0"/>
      </w:pPr>
    </w:p>
    <w:p>
      <w:r>
        <w:rPr>
          <w:b/>
        </w:rPr>
        <w:t xml:space="preserve">Merken </w:t>
      </w:r>
      <w:r>
        <w:t>Kindheit → Vorbereitung → Wirken → Weg → Jerusalem → Passion → Auferstehung. Redenfolge: 5–7 / 10 / 13 / 18 / 24–25.</w:t>
      </w:r>
    </w:p>
    <w:p>
      <w:r>
        <w:t>Zur Einteilung: Die Reden gliedern das Werk zusätzlich. Andere Übersichten verbinden Erzählung und anschließende Rede zu größeren Einheiten. Mt 16,21 markiert bereits im Galiläa-Teil die ausdrückliche Hinwendung zum Leiden. Grundlagen: [1], [5], [6].</w:t>
      </w:r>
    </w:p>
    <w:p>
      <w:r>
        <w:br w:type="page"/>
      </w:r>
    </w:p>
    <w:p>
      <w:pPr>
        <w:pStyle w:val="Heading1"/>
      </w:pPr>
      <w:r>
        <w:t>Markus</w:t>
      </w:r>
    </w:p>
    <w:p>
      <w:r>
        <w:t>16 Kapitel · Jesus erkennen und ihm auf dem Weg zum Kreuz folgen.</w:t>
      </w:r>
    </w:p>
    <w:tbl>
      <w:tblPr>
        <w:tblW w:type="auto" w:w="0"/>
        <w:jc w:val="center"/>
        <w:tblLayout w:type="fixed"/>
        <w:tblLook w:firstColumn="1" w:firstRow="1" w:lastColumn="0" w:lastRow="0" w:noHBand="0" w:noVBand="1" w:val="04A0"/>
      </w:tblPr>
      <w:tblGrid>
        <w:gridCol w:w="1642"/>
        <w:gridCol w:w="2650"/>
        <w:gridCol w:w="5933"/>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Textbereich</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Hauptabschnitt</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Inhalt zum Einordnen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1,1–13</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Auftakt und Vorbereitung</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Johannes der Täufer, Taufe Jesu und Versuchung; keine Kindheitsgeschichte.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1,14–8,26</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Wirken in Galiläa und Umgebung</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Verkündigung, Heilungen, Gleichnisse, Jüngerberufung, Konflikte und Unverständnis.</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8,27–10,52</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Wendung und Weg zur Passion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Petrusbekenntnis, Leidensankündigungen, Verklärung und Unterweisung über Nachfolge; Reise nach Jerusalem.</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11–13</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Jesus in Jerusalem</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Einzug, Tempelhandlung, Streitgespräche und Endzeitrede.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14–15</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Passion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Letztes Mahl, Getsemani, Verhaftung, Prozess, Kreuzigung und Grablegung.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16,1–8</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Leeres Grab und Osterbotschaft</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Frauen am Grab; Botschaft von Jesu Auferstehung; Furcht und Schweigen.</w:t>
            </w:r>
          </w:p>
        </w:tc>
      </w:tr>
    </w:tbl>
    <w:p>
      <w:pPr>
        <w:spacing w:after="0"/>
      </w:pPr>
    </w:p>
    <w:p>
      <w:r>
        <w:rPr>
          <w:b/>
        </w:rPr>
        <w:t xml:space="preserve">Zusätzlich überliefert </w:t>
      </w:r>
      <w:r>
        <w:t>Mk 16,9–20 enthält Erscheinungen des Auferstandenen, Sendung und Himmelfahrt. Dieser lange Schluss gilt in der textkritischen Forschung als spätere Ergänzung und wird deshalb gesondert gelernt. Der älteste rekonstruierbare Text endet bei 16,8; ob Markus selbst ursprünglich noch einen verlorenen Schluss schrieb, ist eine andere Frage.</w:t>
      </w:r>
    </w:p>
    <w:p>
      <w:pPr>
        <w:pStyle w:val="Heading2"/>
      </w:pPr>
      <w:r>
        <w:t>Wichtige Übergänge</w:t>
      </w:r>
    </w:p>
    <w:tbl>
      <w:tblPr>
        <w:tblW w:type="auto" w:w="0"/>
        <w:jc w:val="center"/>
        <w:tblLayout w:type="fixed"/>
        <w:tblLook w:firstColumn="1" w:firstRow="1" w:lastColumn="0" w:lastRow="0" w:noHBand="0" w:noVBand="1" w:val="04A0"/>
      </w:tblPr>
      <w:tblGrid>
        <w:gridCol w:w="1642"/>
        <w:gridCol w:w="8582"/>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Stelle</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Orientierung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1,14–15</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Die öffentliche Verkündigung Jesu beginnt.</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8,27–31</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Petrus bekennt Jesus als Christus; unmittelbar danach folgt die erste Leidensankündigung.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11,1</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Der Einzug eröffnet den Jerusalemer Abschnitt.</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14,1</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Die Passionshandlung setzt ein.</w:t>
            </w:r>
          </w:p>
        </w:tc>
      </w:tr>
    </w:tbl>
    <w:p>
      <w:pPr>
        <w:spacing w:after="0"/>
      </w:pPr>
    </w:p>
    <w:p>
      <w:r>
        <w:rPr>
          <w:b/>
        </w:rPr>
        <w:t xml:space="preserve">Merken </w:t>
      </w:r>
      <w:r>
        <w:t>Vorbereitung → Wirken → Weg zum Kreuz → Jerusalem → Passion → Osterbotschaft.</w:t>
      </w:r>
    </w:p>
    <w:p>
      <w:r>
        <w:t>Zur Einteilung: Der Übergang zur zweiten großen Hälfte wird je nach Quelle bei 8,22, 8,27 oder 8,31 gesetzt. Für diese Lernübersicht dient 8,27 als Grenze. Einige Quellen zählen 1,14–15 noch zum Auftakt. Grundlagen: [2], [7].</w:t>
      </w:r>
    </w:p>
    <w:p>
      <w:r>
        <w:br w:type="page"/>
      </w:r>
    </w:p>
    <w:p>
      <w:pPr>
        <w:pStyle w:val="Heading1"/>
      </w:pPr>
      <w:r>
        <w:t>Lukas</w:t>
      </w:r>
    </w:p>
    <w:p>
      <w:r>
        <w:t>24 Kapitel · Der Weg Jesu führt nach Jerusalem · Besonders langer Reiseabschnitt.</w:t>
      </w:r>
    </w:p>
    <w:tbl>
      <w:tblPr>
        <w:tblW w:type="auto" w:w="0"/>
        <w:jc w:val="center"/>
        <w:tblLayout w:type="fixed"/>
        <w:tblLook w:firstColumn="1" w:firstRow="1" w:lastColumn="0" w:lastRow="0" w:noHBand="0" w:noVBand="1" w:val="04A0"/>
      </w:tblPr>
      <w:tblGrid>
        <w:gridCol w:w="1642"/>
        <w:gridCol w:w="2650"/>
        <w:gridCol w:w="5933"/>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Textbereich</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Hauptabschnitt</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Inhalt zum Einordnen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1–2</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Vorwort und Kindheitsgeschichte</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Vorwort 1,1–4; Ankündigung und Geburt des Täufers und Jesu; Jesus als Kind im Tempel.</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3,1–4,13</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Vorbereitung</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Johannes der Täufer, Taufe, Stammbaum und Versuchung Jesu.</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4,14–9,50</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Wirken in Galiläa</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Nazareth, Heilungen, Berufungen, Feldrede, Gleichnisse, Petrusbekenntnis und Verklärung.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9,51–19,27</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Reise nach Jerusalem</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Ausführliche Lehre über Nachfolge, Gebet, Barmherzigkeit und Besitz; etwa barmherziger Samariter und verlorener Sohn.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19,28–21,38</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Jesus in Jerusalem</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Einzug, Tempelhandlung, Streitgespräche und Rede über die kommenden Ereignisse.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22–23</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Passion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Letztes Mahl, Ölberg, Verhaftung, Verhöre, Kreuzigung und Grablegung.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24</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Auferstehung und Himmelfahrt</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Leeres Grab, Emmaus, Erscheinung in Jerusalem und Himmelfahrt.</w:t>
            </w:r>
          </w:p>
        </w:tc>
      </w:tr>
    </w:tbl>
    <w:p>
      <w:pPr>
        <w:spacing w:after="0"/>
      </w:pPr>
    </w:p>
    <w:p>
      <w:pPr>
        <w:pStyle w:val="Heading2"/>
      </w:pPr>
      <w:r>
        <w:t>Wichtige Übergänge</w:t>
      </w:r>
    </w:p>
    <w:tbl>
      <w:tblPr>
        <w:tblW w:type="auto" w:w="0"/>
        <w:jc w:val="center"/>
        <w:tblLayout w:type="fixed"/>
        <w:tblLook w:firstColumn="1" w:firstRow="1" w:lastColumn="0" w:lastRow="0" w:noHBand="0" w:noVBand="1" w:val="04A0"/>
      </w:tblPr>
      <w:tblGrid>
        <w:gridCol w:w="1642"/>
        <w:gridCol w:w="8582"/>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Stelle</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Orientierung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4,14–16</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Rückkehr nach Galiläa; anschließend Auftreten in Nazareth.</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9,51</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Jesus richtet seinen Weg ausdrücklich auf Jerusalem aus.</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19,28–45</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Aufstieg und Einzug; anschließend die Tempelhandlung.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24,50–53</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Himmelfahrt als Abschluss des Evangeliums.</w:t>
            </w:r>
          </w:p>
        </w:tc>
      </w:tr>
    </w:tbl>
    <w:p>
      <w:pPr>
        <w:spacing w:after="0"/>
      </w:pPr>
    </w:p>
    <w:p>
      <w:r>
        <w:rPr>
          <w:b/>
        </w:rPr>
        <w:t xml:space="preserve">Merken </w:t>
      </w:r>
      <w:r>
        <w:t>Kindheit → Vorbereitung → Galiläa → lange Reise → Jerusalem → Passion → Ostern und Himmelfahrt.</w:t>
      </w:r>
    </w:p>
    <w:p>
      <w:r>
        <w:t>Zur Einteilung: Einige Quellen beginnen Galiläa erst bei 4,16. Der Reiseabschnitt endet je nach Einteilung bei 19,27 oder 19,44. Hier eröffnet die Einzugsszene ab 19,28 den Jerusalemer Block; der Wegbeginn 9,51 bleibt der zentrale Lernanker. Grundlagen: [3], [8].</w:t>
      </w:r>
    </w:p>
    <w:p>
      <w:r>
        <w:br w:type="page"/>
      </w:r>
    </w:p>
    <w:p>
      <w:pPr>
        <w:pStyle w:val="Heading1"/>
      </w:pPr>
      <w:r>
        <w:t>Johannes</w:t>
      </w:r>
    </w:p>
    <w:p>
      <w:r>
        <w:t>21 Kapitel · Jesu Zeichen und Offenbarung · Anschließend Abschied, Passion und Auferstehung.</w:t>
      </w:r>
    </w:p>
    <w:tbl>
      <w:tblPr>
        <w:tblW w:type="auto" w:w="0"/>
        <w:jc w:val="center"/>
        <w:tblLayout w:type="fixed"/>
        <w:tblLook w:firstColumn="1" w:firstRow="1" w:lastColumn="0" w:lastRow="0" w:noHBand="0" w:noVBand="1" w:val="04A0"/>
      </w:tblPr>
      <w:tblGrid>
        <w:gridCol w:w="1642"/>
        <w:gridCol w:w="2650"/>
        <w:gridCol w:w="5933"/>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Textbereich</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Hauptabschnitt</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Inhalt zum Einordnen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1,1–18</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Prolog</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Das ewige Wort wird Mensch; theologischer Auftakt statt Kindheitsgeschichte.</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1,19–12,50</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Öffentliches Wirken und Zeichen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Täuferzeugnis, erste Jünger, Zeichen und Gespräche; etwa Kana, Nikodemus, Samariterin und Lazarus.</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13–17</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Abschied von den Jüngern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Fußwaschung, Abschiedsreden, Verheißung des Geistes und Gebet Jesu.</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18–19</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Passion</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Verhaftung, Verhöre, Kreuzigung und Grablegung.</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20</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Auferstehung und erster Abschluss</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Leeres Grab; Maria Magdalena, Jünger und Thomas; Zweck des Evangeliums in 20,30–31.</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21</w:t>
            </w:r>
          </w:p>
        </w:tc>
        <w:tc>
          <w:tcPr>
            <w:tcW w:type="dxa" w:w="2650"/>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Epilog</w:t>
            </w:r>
          </w:p>
        </w:tc>
        <w:tc>
          <w:tcPr>
            <w:tcW w:type="dxa" w:w="5933"/>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Erscheinung am See, Auftrag an Petrus und abschließendes Zeugnis.</w:t>
            </w:r>
          </w:p>
        </w:tc>
      </w:tr>
    </w:tbl>
    <w:p>
      <w:pPr>
        <w:spacing w:after="0"/>
      </w:pPr>
    </w:p>
    <w:p>
      <w:r>
        <w:rPr>
          <w:b/>
        </w:rPr>
        <w:t xml:space="preserve">Die übergeordnete Struktur </w:t>
      </w:r>
      <w:r>
        <w:t>Prolog (1,1–18) → Buch der Zeichen (1,19–12,50) → Buch der Herrlichkeit (13–20) → Epilog (21). Die letzten drei Blöcke vor dem Epilog in der Tabelle entfalten das Buch der Herrlichkeit.</w:t>
      </w:r>
    </w:p>
    <w:p>
      <w:r>
        <w:t>Zur Einteilung: Manche Kommentare rechnen Kapitel 21 zum Buch der Herrlichkeit. Andere behandeln es als Epilog. Auch Kapitel 1 wird teils als gesamte Einleitung zusammengefasst. Anders als bei den Synoptikern lassen sich Jesu Reisen hier nicht auf einen einzigen Weg von Galiläa nach Jerusalem reduzieren. Grundlagen: [4], [9].</w:t>
      </w:r>
    </w:p>
    <w:p>
      <w:r>
        <w:rPr>
          <w:b/>
        </w:rPr>
        <w:t xml:space="preserve">Merken </w:t>
      </w:r>
      <w:r>
        <w:t>Wort → Zeichen → Abschied → Passion → Auferstehung → Epilog.</w:t>
      </w:r>
    </w:p>
    <w:p>
      <w:pPr>
        <w:pStyle w:val="Heading2"/>
      </w:pPr>
      <w:r>
        <w:t>Die vier Evangelien im Gedächtnis</w:t>
      </w:r>
    </w:p>
    <w:tbl>
      <w:tblPr>
        <w:tblW w:type="auto" w:w="0"/>
        <w:jc w:val="center"/>
        <w:tblLayout w:type="fixed"/>
        <w:tblLook w:firstColumn="1" w:firstRow="1" w:lastColumn="0" w:lastRow="0" w:noHBand="0" w:noVBand="1" w:val="04A0"/>
      </w:tblPr>
      <w:tblGrid>
        <w:gridCol w:w="1642"/>
        <w:gridCol w:w="8582"/>
      </w:tblGrid>
      <w:tr>
        <w:trPr>
          <w:cantSplit/>
          <w:tblHeader/>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jc w:val="center"/>
            </w:pPr>
            <w:r>
              <w:rPr>
                <w:b/>
                <w:sz w:val="21"/>
              </w:rPr>
              <w:t>Evangelium</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E6EDF3"/>
          </w:tcPr>
          <w:p>
            <w:pPr>
              <w:spacing w:after="0" w:line="247" w:lineRule="auto"/>
            </w:pPr>
            <w:r>
              <w:rPr>
                <w:b/>
                <w:sz w:val="21"/>
              </w:rPr>
              <w:t>Besonders hilfreicher Strukturanker</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Matthäus</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Fünf große Reden im Erzählverlauf.</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Markus</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Wendung um 8,27–31: Christus erkennen und das Leiden verstehen.</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jc w:val="center"/>
            </w:pPr>
            <w:r>
              <w:rPr>
                <w:b w:val="0"/>
                <w:sz w:val="21"/>
              </w:rPr>
              <w:t>Lukas</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FFFFF"/>
          </w:tcPr>
          <w:p>
            <w:pPr>
              <w:spacing w:after="0" w:line="247" w:lineRule="auto"/>
            </w:pPr>
            <w:r>
              <w:rPr>
                <w:b w:val="0"/>
                <w:sz w:val="21"/>
              </w:rPr>
              <w:t>Lange Reise nach Jerusalem ab 9,51.</w:t>
            </w:r>
          </w:p>
        </w:tc>
      </w:tr>
      <w:tr>
        <w:trPr>
          <w:cantSplit/>
        </w:trPr>
        <w:tc>
          <w:tcPr>
            <w:tcW w:type="dxa" w:w="164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jc w:val="center"/>
            </w:pPr>
            <w:r>
              <w:rPr>
                <w:b w:val="0"/>
                <w:sz w:val="21"/>
              </w:rPr>
              <w:t>Johannes</w:t>
            </w:r>
          </w:p>
        </w:tc>
        <w:tc>
          <w:tcPr>
            <w:tcW w:type="dxa" w:w="8582"/>
            <w:vAlign w:val="center"/>
            <w:tcBorders>
              <w:top w:val="single" w:sz="4" w:color="D9D9D9"/>
              <w:left w:val="single" w:sz="4" w:color="D9D9D9"/>
              <w:bottom w:val="single" w:sz="4" w:color="D9D9D9"/>
              <w:right w:val="single" w:sz="4" w:color="D9D9D9"/>
            </w:tcBorders>
            <w:tcMar>
              <w:top w:w="95" w:type="dxa"/>
              <w:bottom w:w="95" w:type="dxa"/>
              <w:left w:w="110" w:type="dxa"/>
              <w:right w:w="110" w:type="dxa"/>
            </w:tcMar>
            <w:shd w:fill="F5F7F9"/>
          </w:tcPr>
          <w:p>
            <w:pPr>
              <w:spacing w:after="0" w:line="247" w:lineRule="auto"/>
            </w:pPr>
            <w:r>
              <w:rPr>
                <w:b w:val="0"/>
                <w:sz w:val="21"/>
              </w:rPr>
              <w:t>Zeichen und Herrlichkeit; die große Zäsur liegt zwischen Kapitel 12 und 13.</w:t>
            </w:r>
          </w:p>
        </w:tc>
      </w:tr>
    </w:tbl>
    <w:p>
      <w:pPr>
        <w:spacing w:after="0"/>
      </w:pPr>
    </w:p>
    <w:p>
      <w:r>
        <w:t>Lernmethode: Zuerst die Hauptabschnitte in Reihenfolge wiedergeben. Danach die Textbereiche abdecken und aus dem Gedächtnis ergänzen. Erst zuletzt einzelne Erzählungen zuordnen.</w:t>
      </w:r>
    </w:p>
    <w:p>
      <w:r>
        <w:br w:type="page"/>
      </w:r>
    </w:p>
    <w:p>
      <w:pPr>
        <w:pStyle w:val="Heading1"/>
      </w:pPr>
      <w:r>
        <w:t>Quellen und Literatur</w:t>
      </w:r>
    </w:p>
    <w:p>
      <w:r>
        <w:t>Die Lernstruktur bündelt verbreitete Gliederungen und folgt vor allem klaren Wendepunkten im Text. Kleine Grenzabweichungen betreffen meist die Zuordnung von Übergangsszenen. Eine gemeinsame Grundstruktur bedeutet daher keine vollständige Einigkeit über den literarischen Aufbau.</w:t>
      </w:r>
    </w:p>
    <w:p>
      <w:pPr>
        <w:pStyle w:val="Heading2"/>
      </w:pPr>
      <w:r>
        <w:t>Bücher und exegetische Kommentare</w:t>
      </w:r>
    </w:p>
    <w:p>
      <w:r>
        <w:t>Ausgewertet wurden die öffentlich zugänglichen Leseproben und darin die Einleitungen, Gliederungen und Inhaltsverzeichnisse. Die Seitenangaben beziehen sich auf die gedruckte Paginierung. Die Buchauszüge wurden mit den unten genannten Bibelübersichten verglichen.</w:t>
      </w:r>
    </w:p>
    <w:p>
      <w:r>
        <w:rPr>
          <w:b/>
        </w:rPr>
        <w:t xml:space="preserve">[1] Curtis Mitch und Edward Sri. </w:t>
      </w:r>
      <w:r>
        <w:t xml:space="preserve">The Gospel of Matthew. Catholic Commentary on Sacred Scripture. Grand Rapids: Baker Academic, 2010. Besonders S. 22–23 und 29–31 zur Struktur und zu den fünf Reden. </w:t>
      </w:r>
      <w:hyperlink r:id="rId9">
        <w:r>
          <w:rPr>
            <w:color w:val="245375"/>
            <w:u w:val="single"/>
          </w:rPr>
          <w:t>Verlagsleseprobe</w:t>
        </w:r>
      </w:hyperlink>
    </w:p>
    <w:p>
      <w:r>
        <w:rPr>
          <w:b/>
        </w:rPr>
        <w:t xml:space="preserve">[2] Camille Focant. </w:t>
      </w:r>
      <w:r>
        <w:t xml:space="preserve">The Gospel according to Mark. A Commentary. Übersetzt von Leslie Robert Keylock. Eugene: Pickwick Publications, 2012. Besonders S. 11–13 zur Vielfalt der Gliederungen und zur Wendung um Kapitel 8; Inhaltsverzeichnis zur Passions- und Osterstruktur. </w:t>
      </w:r>
      <w:hyperlink r:id="rId10">
        <w:r>
          <w:rPr>
            <w:color w:val="245375"/>
            <w:u w:val="single"/>
          </w:rPr>
          <w:t>Buchleseprobe</w:t>
        </w:r>
      </w:hyperlink>
    </w:p>
    <w:p>
      <w:r>
        <w:rPr>
          <w:b/>
        </w:rPr>
        <w:t xml:space="preserve">[3] Pablo T. Gadenz. </w:t>
      </w:r>
      <w:r>
        <w:t xml:space="preserve">The Gospel of Luke. Catholic Commentary on Sacred Scripture. Grand Rapids: Baker Academic, 2018. Besonders S. 24–27 zur Gesamtgliederung; dort endet die Reise bei 19,44. </w:t>
      </w:r>
      <w:hyperlink r:id="rId11">
        <w:r>
          <w:rPr>
            <w:color w:val="245375"/>
            <w:u w:val="single"/>
          </w:rPr>
          <w:t>Buchleseprobe</w:t>
        </w:r>
      </w:hyperlink>
    </w:p>
    <w:p>
      <w:r>
        <w:rPr>
          <w:b/>
        </w:rPr>
        <w:t xml:space="preserve">[4] Francis Martin und William M. Wright IV. </w:t>
      </w:r>
      <w:r>
        <w:t xml:space="preserve">The Gospel of John. Catholic Commentary on Sacred Scripture. Grand Rapids: Baker Academic, 2015. Besonders S. 20–21 und 27–30; das Buch der Herrlichkeit umfasst dort auch Kapitel 21. </w:t>
      </w:r>
      <w:hyperlink r:id="rId12">
        <w:r>
          <w:rPr>
            <w:color w:val="245375"/>
            <w:u w:val="single"/>
          </w:rPr>
          <w:t>Verlagsleseprobe</w:t>
        </w:r>
      </w:hyperlink>
    </w:p>
    <w:p>
      <w:pPr>
        <w:pStyle w:val="Heading2"/>
      </w:pPr>
      <w:r>
        <w:t>Bibelübersichten im Internet</w:t>
      </w:r>
    </w:p>
    <w:p>
      <w:r>
        <w:rPr>
          <w:b/>
        </w:rPr>
        <w:t xml:space="preserve">[5] USCCB. </w:t>
      </w:r>
      <w:r>
        <w:t xml:space="preserve">New American Bible Revised Edition, Einleitung zu Matthäus; besonders Hauptgliederung und fünf Reden. </w:t>
      </w:r>
      <w:hyperlink r:id="rId13">
        <w:r>
          <w:rPr>
            <w:color w:val="245375"/>
            <w:u w:val="single"/>
          </w:rPr>
          <w:t>Onlineübersicht</w:t>
        </w:r>
      </w:hyperlink>
    </w:p>
    <w:p>
      <w:r>
        <w:rPr>
          <w:b/>
        </w:rPr>
        <w:t xml:space="preserve">[6] Crossway. </w:t>
      </w:r>
      <w:r>
        <w:t xml:space="preserve">ESV Global Study Bible, Introduction to Matthew, Abschnitt Outline. </w:t>
      </w:r>
      <w:hyperlink r:id="rId14">
        <w:r>
          <w:rPr>
            <w:color w:val="245375"/>
            <w:u w:val="single"/>
          </w:rPr>
          <w:t>Onlineübersicht</w:t>
        </w:r>
      </w:hyperlink>
    </w:p>
    <w:p>
      <w:r>
        <w:rPr>
          <w:b/>
        </w:rPr>
        <w:t xml:space="preserve">[7] Crossway. </w:t>
      </w:r>
      <w:r>
        <w:t xml:space="preserve">ESV Global Study Bible, Introduction to Mark, Abschnitt Outline. </w:t>
      </w:r>
      <w:hyperlink r:id="rId15">
        <w:r>
          <w:rPr>
            <w:color w:val="245375"/>
            <w:u w:val="single"/>
          </w:rPr>
          <w:t>Onlineübersicht</w:t>
        </w:r>
      </w:hyperlink>
    </w:p>
    <w:p>
      <w:r>
        <w:rPr>
          <w:b/>
        </w:rPr>
        <w:t xml:space="preserve">[8] Crossway. </w:t>
      </w:r>
      <w:r>
        <w:t xml:space="preserve">ESV Global Study Bible, Introduction to Luke, Abschnitt Outline; Reise bis 19,27. </w:t>
      </w:r>
      <w:hyperlink r:id="rId16">
        <w:r>
          <w:rPr>
            <w:color w:val="245375"/>
            <w:u w:val="single"/>
          </w:rPr>
          <w:t>Onlineübersicht</w:t>
        </w:r>
      </w:hyperlink>
    </w:p>
    <w:p>
      <w:r>
        <w:rPr>
          <w:b/>
        </w:rPr>
        <w:t xml:space="preserve">[9] Crossway. </w:t>
      </w:r>
      <w:r>
        <w:t xml:space="preserve">ESV Global Study Bible, Introduction to John, Abschnitt Outline; Kapitel 21 als Epilog. </w:t>
      </w:r>
      <w:hyperlink r:id="rId17">
        <w:r>
          <w:rPr>
            <w:color w:val="245375"/>
            <w:u w:val="single"/>
          </w:rPr>
          <w:t>Onlineübersicht</w:t>
        </w:r>
      </w:hyperlink>
    </w:p>
    <w:p>
      <w:r>
        <w:t>Recherche und Abruf am 12. Oktober 2026. Die Abschnittstitel und Merksätze sind als Lernhilfe formuliert; die genannten Grenzen sind aus den Quellen zusammengeführt. Die Gliederung beschreibt die Reihenfolge im jeweiligen Evangelium und ist keine Rekonstruktion einer gemeinsamen historischen Chronologie.</w:t>
      </w:r>
    </w:p>
    <w:sectPr w:rsidR="00FC693F" w:rsidRPr="0006063C" w:rsidSect="00034616">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dn-static.supadu.com/baker-academic-us/pdf/Excerpt_9780801036026.pdf" TargetMode="External"/><Relationship Id="rId10" Type="http://schemas.openxmlformats.org/officeDocument/2006/relationships/hyperlink" Target="https://api.pageplace.de/preview/DT0400.9781725246935_A40374879/preview-9781725246935_A40374879.pdf" TargetMode="External"/><Relationship Id="rId11" Type="http://schemas.openxmlformats.org/officeDocument/2006/relationships/hyperlink" Target="https://www.catholiccommentaryonsacredscripture.com/wp-content/uploads/2018/09/Gospel-of-Luke-Excerpt-Intro-chapter-1.pdf" TargetMode="External"/><Relationship Id="rId12" Type="http://schemas.openxmlformats.org/officeDocument/2006/relationships/hyperlink" Target="https://cdn-static.supadu.com/baker-academic-us/pdf/Excerpt_9780801036477.pdf" TargetMode="External"/><Relationship Id="rId13" Type="http://schemas.openxmlformats.org/officeDocument/2006/relationships/hyperlink" Target="https://bible.usccb.org/bible/matthew/0" TargetMode="External"/><Relationship Id="rId14" Type="http://schemas.openxmlformats.org/officeDocument/2006/relationships/hyperlink" Target="https://www.esv.org/resources/esv-global-study-bible/introduction-to-matthew/" TargetMode="External"/><Relationship Id="rId15" Type="http://schemas.openxmlformats.org/officeDocument/2006/relationships/hyperlink" Target="https://www.esv.org/resources/esv-global-study-bible/introduction-to-mark/" TargetMode="External"/><Relationship Id="rId16" Type="http://schemas.openxmlformats.org/officeDocument/2006/relationships/hyperlink" Target="https://www.esv.org/resources/esv-global-study-bible/introduction-to-luke/" TargetMode="External"/><Relationship Id="rId17" Type="http://schemas.openxmlformats.org/officeDocument/2006/relationships/hyperlink" Target="https://www.esv.org/resources/esv-global-study-bible/introduction-to-john/"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Grundstruktur der vier Evangelien</dc:title>
  <dc:subject>Grobe Gliederung zum Lernen mit Quellen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