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Supplementary Materials</w:t>
      </w:r>
    </w:p>
    <w:p>
      <w:r>
        <w:t>Machine Learning-Based Gene-Burden Modeling from scRNA-seq Expressed Variants for Wound-Edge Analysis in Peripheral Artery Disease</w:t>
      </w:r>
    </w:p>
    <w:p>
      <w:r>
        <w:t>Version 1.0.2 | Prepared 8 October 2026 | Supplementary methods and Tables S1-S3</w:t>
      </w:r>
    </w:p>
    <w:p>
      <w:pPr>
        <w:pStyle w:val="Heading1"/>
      </w:pPr>
      <w:r>
        <w:t>Supplementary Methods S1. Data provenance and analysis units</w:t>
      </w:r>
    </w:p>
    <w:p>
      <w:r>
        <w:t>This supplement supports the manuscript: Machine Learning-Based Gene-Burden Modeling from scRNA-seq Expressed Variants for Wound-Edge Analysis in Peripheral Artery Disease. The source data are PRJNA736095 / GSE176415. Table S1 provides run identifiers, GEO biological sample identifiers, source-derived conditions and archived labels. Biological samples and sequencing runs are different units. The original PAD project remains the provenance source; this repository packages the article-specific support materials.</w:t>
      </w:r>
    </w:p>
    <w:p>
      <w:pPr>
        <w:pStyle w:val="Heading1"/>
      </w:pPr>
      <w:r>
        <w:t>Supplementary Methods S2. Expressed-variant and gene-burden workflow</w:t>
      </w:r>
    </w:p>
    <w:p>
      <w:r>
        <w:t>The archived code covers splice-aware STARsolo alignment, bcftools expressed-variant discovery, cohort-common-position exclusion, GENCODE exon overlap and unique sample-by-gene variant counts. Manuscript acceptance thresholds are DP &gt;= 10, QUAL &gt;= 30, alternate depth &gt;= 3 and VAF &gt;= 0.10. Exact command expressions and annotation defaults must be checked in the archived scripts before reuse. RNA calls are not confirmed somatic or germline variants. FASTQ/BAM/VCF/reference inputs are not bundled.</w:t>
      </w:r>
    </w:p>
    <w:p>
      <w:pPr>
        <w:pStyle w:val="Heading1"/>
      </w:pPr>
      <w:r>
        <w:t>Supplementary Methods S3. Classification and evaluation</w:t>
      </w:r>
    </w:p>
    <w:p>
      <w:r>
        <w:t>The archived Python code compares linear SVC, L1/L2 logistic regression, PCA10 and KBest logistic regression, and a 500-tree random forest. Scaling and variance filtering are in sklearn pipelines. Saved repeated CV summaries are provided for baseline and cohort feature sets. The archived permutation test concerns logistic regression under single stratified CV; it does not establish model-specific permutation results for all classifiers. Repeated run-level resampling does not estimate independent-patient performance.</w:t>
      </w:r>
    </w:p>
    <w:p>
      <w:pPr>
        <w:pStyle w:val="Heading1"/>
      </w:pPr>
      <w:r>
        <w:t>Supplementary Note S1. Reproducibility limitations</w:t>
      </w:r>
    </w:p>
    <w:p>
      <w:r>
        <w:t>The manuscript-specific numerical results have not been reproduced by this package. Archived source files and manuscript-reported claims are separated. Public GSE176415 metadata contain four unwounded-skin and three wound biological samples; the fourteen runs comprise eight UWE and six WE observations. Legacy labels disagree with this mapping. The archived CV uses run-level splits and fixed hyperparameters, not donor/GSM-grouped nested tuning. Cohort-frequency filtering uses the entire cohort. Archived PCA values, coefficients and some classifier summaries differ from the manuscript. No matched DNA or verified PAD clinical status is established by this dataset. All expressed variants and biological interpretations are exploratory. Reanalysis with reconciled labels and group-aware training-only preprocessing is required before publication claims can be considered reproducible.</w:t>
      </w:r>
    </w:p>
    <w:p>
      <w:pPr>
        <w:pStyle w:val="Heading1"/>
      </w:pPr>
      <w:r>
        <w:t>Table S1. Run metadata reconciliation</w:t>
      </w:r>
    </w:p>
    <w:p>
      <w:r>
        <w:t>Machine-readable table: tables/Table_S1_run_metadata_reconciliation.csv. Each row records the run, GSM, BioSample, source tissue label, legacy analysis label and agreement status. Source-derived labels are distinguished from those used for archived results.</w:t>
      </w:r>
    </w:p>
    <w:p>
      <w:pPr>
        <w:pStyle w:val="Heading1"/>
      </w:pPr>
      <w:r>
        <w:t>Table S2. Manuscript-reported numerical claims</w:t>
      </w:r>
    </w:p>
    <w:p>
      <w:r>
        <w:t>Machine-readable table: tables/Table_S2_manuscript_reported_claims.csv. Values and text are transcribed from the supplied manuscript and are explicitly not new computational evidence.</w:t>
      </w:r>
    </w:p>
    <w:p>
      <w:pPr>
        <w:pStyle w:val="Heading1"/>
      </w:pPr>
      <w:r>
        <w:t>Table S3. Claim-to-artifact reconciliation</w:t>
      </w:r>
    </w:p>
    <w:p>
      <w:r>
        <w:t>Machine-readable table: tables/Table_S3_claim_artifact_reconciliation.csv. This table records differences in replication, classifier metrics, PCA, coefficient provenance and validation design. No missing predictions or significance tests are synthesized.</w:t>
      </w:r>
    </w:p>
    <w:p>
      <w:pPr>
        <w:pStyle w:val="Heading1"/>
      </w:pPr>
      <w:r>
        <w:t>Data and code availability</w:t>
      </w:r>
    </w:p>
    <w:p>
      <w:r>
        <w:t>Source sequencing accession: GSE176415 / PRJNA736095. Code and historical computational outputs are available separately in the article-specific repository: https://github.com/dauletulyaidyn/pad-wound-edge-expressed-variant-modeling. The journal attachment consists of this document and the three CSV tables S1-S3.</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Research support package — results require reconciliation before submission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Supplementary Materials | Expressed-variant gene burden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