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6C95A" w14:textId="77777777" w:rsidR="00FD65D4" w:rsidRDefault="00660174">
      <w:pPr>
        <w:spacing w:after="60"/>
      </w:pPr>
      <w:r>
        <w:rPr>
          <w:b/>
          <w:bCs/>
          <w:color w:val="777777"/>
          <w:spacing w:val="20"/>
          <w:sz w:val="18"/>
          <w:szCs w:val="18"/>
        </w:rPr>
        <w:t xml:space="preserve">ENGL 002 FOUNDATION </w:t>
      </w:r>
      <w:proofErr w:type="gramStart"/>
      <w:r>
        <w:rPr>
          <w:b/>
          <w:bCs/>
          <w:color w:val="777777"/>
          <w:spacing w:val="20"/>
          <w:sz w:val="18"/>
          <w:szCs w:val="18"/>
        </w:rPr>
        <w:t>ENGLISH  ·</w:t>
      </w:r>
      <w:proofErr w:type="gramEnd"/>
      <w:r>
        <w:rPr>
          <w:b/>
          <w:bCs/>
          <w:color w:val="777777"/>
          <w:spacing w:val="20"/>
          <w:sz w:val="18"/>
          <w:szCs w:val="18"/>
        </w:rPr>
        <w:t xml:space="preserve">  WEEK 9</w:t>
      </w:r>
    </w:p>
    <w:p w14:paraId="4AB72523" w14:textId="77777777" w:rsidR="00FD65D4" w:rsidRDefault="00660174">
      <w:pPr>
        <w:pStyle w:val="Heading1"/>
        <w:spacing w:after="240"/>
      </w:pPr>
      <w:r>
        <w:rPr>
          <w:b/>
          <w:bCs/>
          <w:color w:val="1565C0"/>
          <w:sz w:val="40"/>
          <w:szCs w:val="40"/>
        </w:rPr>
        <w:t>Model Essay: Care Close to Home</w:t>
      </w:r>
    </w:p>
    <w:p w14:paraId="6F188654" w14:textId="7AB316A1" w:rsidR="00FD65D4" w:rsidRDefault="00660174">
      <w:pPr>
        <w:spacing w:after="240"/>
      </w:pPr>
      <w:r>
        <w:rPr>
          <w:b/>
          <w:bCs/>
        </w:rPr>
        <w:t xml:space="preserve">Name: </w:t>
      </w:r>
      <w:r w:rsidR="00385B4D" w:rsidRPr="00385B4D">
        <w:rPr>
          <w:b/>
          <w:bCs/>
          <w:u w:val="single"/>
        </w:rPr>
        <w:t>Ulric Aird</w:t>
      </w:r>
      <w:r w:rsidR="00385B4D">
        <w:tab/>
      </w:r>
      <w:r>
        <w:rPr>
          <w:b/>
          <w:bCs/>
        </w:rPr>
        <w:t xml:space="preserve">Partner: </w:t>
      </w:r>
      <w:r>
        <w:t>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65D4" w14:paraId="68613DB9" w14:textId="77777777">
        <w:tc>
          <w:tcPr>
            <w:tcW w:w="9360" w:type="dxa"/>
            <w:tcBorders>
              <w:top w:val="none" w:sz="0" w:space="0" w:color="FFFFFF"/>
              <w:left w:val="none" w:sz="0" w:space="0" w:color="FFFFFF"/>
              <w:bottom w:val="none" w:sz="0" w:space="0" w:color="FFFFFF"/>
              <w:right w:val="none" w:sz="0" w:space="0" w:color="FFFFFF"/>
            </w:tcBorders>
            <w:shd w:val="clear" w:color="auto" w:fill="E3F0FA"/>
            <w:tcMar>
              <w:top w:w="160" w:type="dxa"/>
              <w:left w:w="200" w:type="dxa"/>
              <w:bottom w:w="160" w:type="dxa"/>
              <w:right w:w="200" w:type="dxa"/>
            </w:tcMar>
          </w:tcPr>
          <w:p w14:paraId="1AE643D2" w14:textId="77777777" w:rsidR="00FD65D4" w:rsidRDefault="00660174">
            <w:pPr>
              <w:spacing w:after="80"/>
            </w:pPr>
            <w:r>
              <w:rPr>
                <w:b/>
                <w:bCs/>
                <w:color w:val="1565C0"/>
              </w:rPr>
              <w:t>About this model</w:t>
            </w:r>
          </w:p>
          <w:p w14:paraId="0EC49A25" w14:textId="29A87E58" w:rsidR="00FD65D4" w:rsidRDefault="00660174">
            <w:pPr>
              <w:spacing w:after="160"/>
            </w:pPr>
            <w:r>
              <w:t xml:space="preserve">This argumentative essay shows the three-part essay structure and the MEAL plan (Main idea, Evidence, Analysis, Link). Each body paragraph </w:t>
            </w:r>
            <w:r w:rsidR="00B619AE">
              <w:t>synthesizes</w:t>
            </w:r>
            <w:r>
              <w:t xml:space="preserve"> at least three published sources, so you can see how a writer connects evidence instead of listing it. The model shows structure only: in your own essay, cite the original sources, never this handout.</w:t>
            </w:r>
          </w:p>
          <w:p w14:paraId="275A4287" w14:textId="77777777" w:rsidR="00FD65D4" w:rsidRDefault="00660174">
            <w:pPr>
              <w:spacing w:after="80"/>
            </w:pPr>
            <w:r>
              <w:rPr>
                <w:b/>
                <w:bCs/>
                <w:color w:val="1565C0"/>
              </w:rPr>
              <w:t>Your task (pairs, 12 minutes)</w:t>
            </w:r>
          </w:p>
          <w:p w14:paraId="4CB6FAA7" w14:textId="77777777" w:rsidR="00FD65D4" w:rsidRDefault="00660174">
            <w:r>
              <w:t>1.  Read the essay one paragraph at a time.</w:t>
            </w:r>
          </w:p>
          <w:p w14:paraId="22BAA8B2" w14:textId="77777777" w:rsidR="00FD65D4" w:rsidRDefault="00660174">
            <w:r>
              <w:t>2.  In Paragraphs 3 and 4, underline and label the M, E, A and L in the margin.</w:t>
            </w:r>
          </w:p>
          <w:p w14:paraId="6DE667D6" w14:textId="77777777" w:rsidR="00FD65D4" w:rsidRDefault="00660174">
            <w:r>
              <w:t>3.  In Paragraph 5, find the restated thesis, the synthesis and the closing implication.</w:t>
            </w:r>
          </w:p>
          <w:p w14:paraId="3B2A7F45" w14:textId="77777777" w:rsidR="00FD65D4" w:rsidRDefault="00660174">
            <w:r>
              <w:t>4.  Complete the reverse outline worksheet at the end of this handout.</w:t>
            </w:r>
          </w:p>
        </w:tc>
      </w:tr>
    </w:tbl>
    <w:p w14:paraId="7589E33B" w14:textId="77777777" w:rsidR="00FD65D4" w:rsidRDefault="00660174">
      <w:pPr>
        <w:pStyle w:val="Heading2"/>
        <w:keepNext/>
        <w:spacing w:before="360" w:after="160"/>
      </w:pPr>
      <w:r>
        <w:rPr>
          <w:b/>
          <w:bCs/>
          <w:color w:val="1565C0"/>
          <w:sz w:val="28"/>
          <w:szCs w:val="28"/>
        </w:rPr>
        <w:t>Care Close to Home</w:t>
      </w:r>
    </w:p>
    <w:p w14:paraId="45DF4665" w14:textId="77777777" w:rsidR="00FD65D4" w:rsidRDefault="00660174">
      <w:pPr>
        <w:keepNext/>
        <w:spacing w:before="240" w:after="60"/>
      </w:pPr>
      <w:r>
        <w:rPr>
          <w:b/>
          <w:bCs/>
          <w:color w:val="1565C0"/>
          <w:sz w:val="20"/>
          <w:szCs w:val="20"/>
        </w:rPr>
        <w:t xml:space="preserve">Paragraph </w:t>
      </w:r>
      <w:proofErr w:type="gramStart"/>
      <w:r>
        <w:rPr>
          <w:b/>
          <w:bCs/>
          <w:color w:val="1565C0"/>
          <w:sz w:val="20"/>
          <w:szCs w:val="20"/>
        </w:rPr>
        <w:t>1</w:t>
      </w:r>
      <w:r>
        <w:rPr>
          <w:i/>
          <w:iCs/>
          <w:color w:val="666666"/>
          <w:sz w:val="20"/>
          <w:szCs w:val="20"/>
        </w:rPr>
        <w:t xml:space="preserve">  ·</w:t>
      </w:r>
      <w:proofErr w:type="gramEnd"/>
      <w:r>
        <w:rPr>
          <w:i/>
          <w:iCs/>
          <w:color w:val="666666"/>
          <w:sz w:val="20"/>
          <w:szCs w:val="20"/>
        </w:rPr>
        <w:t xml:space="preserve">  Introduction</w:t>
      </w:r>
    </w:p>
    <w:p w14:paraId="219C6331" w14:textId="77777777" w:rsidR="00FD65D4" w:rsidRDefault="00660174">
      <w:pPr>
        <w:spacing w:line="480" w:lineRule="auto"/>
        <w:ind w:firstLine="720"/>
      </w:pPr>
      <w:r>
        <w:rPr>
          <w:rFonts w:ascii="Times New Roman" w:eastAsia="Times New Roman" w:hAnsi="Times New Roman" w:cs="Times New Roman"/>
          <w:sz w:val="24"/>
          <w:szCs w:val="24"/>
        </w:rPr>
        <w:t xml:space="preserve">In the Americas, about two in three people with moderate to severe mental disorders receive no treatment, and a regional review of this treatment gap found no data at all from the non-Latin Caribbean (Kohn et al., 2018). For a family in rural St. Patrick or on </w:t>
      </w:r>
      <w:proofErr w:type="spellStart"/>
      <w:r>
        <w:rPr>
          <w:rFonts w:ascii="Times New Roman" w:eastAsia="Times New Roman" w:hAnsi="Times New Roman" w:cs="Times New Roman"/>
          <w:sz w:val="24"/>
          <w:szCs w:val="24"/>
        </w:rPr>
        <w:t>Carriacou</w:t>
      </w:r>
      <w:proofErr w:type="spellEnd"/>
      <w:r>
        <w:rPr>
          <w:rFonts w:ascii="Times New Roman" w:eastAsia="Times New Roman" w:hAnsi="Times New Roman" w:cs="Times New Roman"/>
          <w:sz w:val="24"/>
          <w:szCs w:val="24"/>
        </w:rPr>
        <w:t xml:space="preserve">, getting help can mean a long journey to St. George’s, a day’s lost wages, and the worry that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will notice. Whether a person receives care, then, depends not only on their symptoms but also on their income, their location, and how their community views mental illness. In this context, access to mental health care is not simply a medical question; it is a social and economic one. Grenada’s Ministry of Health should integrate mental health services into community health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because doing so removes the cost barrier to care, overcomes distance and transport barriers, and reduces the stigma around seeking help.</w:t>
      </w:r>
    </w:p>
    <w:p w14:paraId="079601C1" w14:textId="77777777" w:rsidR="00FD65D4" w:rsidRDefault="00660174">
      <w:pPr>
        <w:keepNext/>
        <w:spacing w:before="240" w:after="60"/>
      </w:pPr>
      <w:r>
        <w:rPr>
          <w:b/>
          <w:bCs/>
          <w:color w:val="1565C0"/>
          <w:sz w:val="20"/>
          <w:szCs w:val="20"/>
        </w:rPr>
        <w:lastRenderedPageBreak/>
        <w:t xml:space="preserve">Paragraph </w:t>
      </w:r>
      <w:proofErr w:type="gramStart"/>
      <w:r>
        <w:rPr>
          <w:b/>
          <w:bCs/>
          <w:color w:val="1565C0"/>
          <w:sz w:val="20"/>
          <w:szCs w:val="20"/>
        </w:rPr>
        <w:t>2</w:t>
      </w:r>
      <w:r>
        <w:rPr>
          <w:i/>
          <w:iCs/>
          <w:color w:val="666666"/>
          <w:sz w:val="20"/>
          <w:szCs w:val="20"/>
        </w:rPr>
        <w:t xml:space="preserve">  ·</w:t>
      </w:r>
      <w:proofErr w:type="gramEnd"/>
      <w:r>
        <w:rPr>
          <w:i/>
          <w:iCs/>
          <w:color w:val="666666"/>
          <w:sz w:val="20"/>
          <w:szCs w:val="20"/>
        </w:rPr>
        <w:t xml:space="preserve">  Body paragraph 1 (labelled together in class)</w:t>
      </w:r>
    </w:p>
    <w:p w14:paraId="20CE105F" w14:textId="77777777" w:rsidR="00FD65D4" w:rsidRDefault="00660174">
      <w:pPr>
        <w:spacing w:line="480" w:lineRule="auto"/>
        <w:ind w:firstLine="720"/>
      </w:pPr>
      <w:r>
        <w:rPr>
          <w:rFonts w:ascii="Times New Roman" w:eastAsia="Times New Roman" w:hAnsi="Times New Roman" w:cs="Times New Roman"/>
          <w:sz w:val="24"/>
          <w:szCs w:val="24"/>
        </w:rPr>
        <w:t xml:space="preserve">The first reason to bring mental health care into community health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is that cost keeps people from treatment, and it shuts out those with the most serious conditions first. Poverty and mental ill health reinforce each other: in low- and middle-income countries, the two interact in a negative cycle, with each making the other worse (Lund et al., 2011). Even when people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that they need help, cost often stands in the way. In a national survey in the United States, inability to afford care was the most common structural barrier, reported by 50.9% of adults with mental illness and an unmet need for treatment (Walker et al., 2015). In rural India, 54% of adults with probable depression also named cost as a barrier (Roberts et al., 2020). Across six countries in the Americas, structural barriers such as cost were reported less often than attitudinal ones, but they were significantly more common among people with severe disorders (Orozco et al., 2022). Taken together, these studies suggest that cost is not the only barrier to care, but it is the one that falls hardest on the people who need care most. In Grenada, where private counselling is usually paid out of pocket, a worker who earns a daily wage must choose between a counselling session and the household budget, and the person who is most unwell is the least able to absorb that cost. Offering free mental health care at community health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would therefore remove the barrier that does the most harm to those in greatest need.</w:t>
      </w:r>
    </w:p>
    <w:p w14:paraId="1C56DC63" w14:textId="77777777" w:rsidR="00FD65D4" w:rsidRDefault="00660174">
      <w:pPr>
        <w:keepNext/>
        <w:spacing w:before="240" w:after="60"/>
      </w:pPr>
      <w:r>
        <w:rPr>
          <w:b/>
          <w:bCs/>
          <w:color w:val="1565C0"/>
          <w:sz w:val="20"/>
          <w:szCs w:val="20"/>
        </w:rPr>
        <w:t xml:space="preserve">Paragraph </w:t>
      </w:r>
      <w:proofErr w:type="gramStart"/>
      <w:r>
        <w:rPr>
          <w:b/>
          <w:bCs/>
          <w:color w:val="1565C0"/>
          <w:sz w:val="20"/>
          <w:szCs w:val="20"/>
        </w:rPr>
        <w:t>3</w:t>
      </w:r>
      <w:r>
        <w:rPr>
          <w:i/>
          <w:iCs/>
          <w:color w:val="666666"/>
          <w:sz w:val="20"/>
          <w:szCs w:val="20"/>
        </w:rPr>
        <w:t xml:space="preserve">  ·</w:t>
      </w:r>
      <w:proofErr w:type="gramEnd"/>
      <w:r>
        <w:rPr>
          <w:i/>
          <w:iCs/>
          <w:color w:val="666666"/>
          <w:sz w:val="20"/>
          <w:szCs w:val="20"/>
        </w:rPr>
        <w:t xml:space="preserve">  Body paragraph 2</w:t>
      </w:r>
    </w:p>
    <w:p w14:paraId="4B518D91" w14:textId="77777777" w:rsidR="00FD65D4" w:rsidRDefault="00660174">
      <w:pPr>
        <w:spacing w:line="480" w:lineRule="auto"/>
        <w:ind w:firstLine="720"/>
      </w:pPr>
      <w:r>
        <w:rPr>
          <w:rFonts w:ascii="Times New Roman" w:eastAsia="Times New Roman" w:hAnsi="Times New Roman" w:cs="Times New Roman"/>
          <w:sz w:val="24"/>
          <w:szCs w:val="24"/>
        </w:rPr>
        <w:t xml:space="preserve">A second reason is that community-based care overcomes the distance and transport barriers that separate many people from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services. A review of research on transportation and health care concluded that transport is a particularly challenging barrier for people with low incomes and those without insurance (Syed et al., 2013). The same pattern appears in mental health care: in rural India, 52% of adults with probable depression reported distance to services as a barrier (Roberts et al., 2020). However, Roberts et al. (2020) also found </w:t>
      </w:r>
      <w:r>
        <w:rPr>
          <w:rFonts w:ascii="Times New Roman" w:eastAsia="Times New Roman" w:hAnsi="Times New Roman" w:cs="Times New Roman"/>
          <w:sz w:val="24"/>
          <w:szCs w:val="24"/>
        </w:rPr>
        <w:lastRenderedPageBreak/>
        <w:t xml:space="preserve">that people who reported cost or distance were no less likely to seek treatment for depression. This suggests that distance makes care harder to use rather than impossible to reach. Meanwhile, a systematic review of task-sharing, in which community health workers and primary care providers deliver mental health care with support from specialists, concluded that this approach may improve the reach of care in rural and low-resource settings (Hoeft et al., 2018). Read together, these findings show that distance works mainly as a hidden cost. A person in rural St. Patrick may make the journey to St. George’s once, but bus fares and lost wages make it hard to return for the regular follow-up that treatment requires. Delivering care through trained staff at the parish health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removes that hidden cost. Care close to home therefore makes treatment not only reachable but sustainable.</w:t>
      </w:r>
    </w:p>
    <w:p w14:paraId="12B0D815" w14:textId="77777777" w:rsidR="00FD65D4" w:rsidRDefault="00660174">
      <w:pPr>
        <w:keepNext/>
        <w:spacing w:before="240" w:after="60"/>
      </w:pPr>
      <w:r>
        <w:rPr>
          <w:b/>
          <w:bCs/>
          <w:color w:val="1565C0"/>
          <w:sz w:val="20"/>
          <w:szCs w:val="20"/>
        </w:rPr>
        <w:t xml:space="preserve">Paragraph </w:t>
      </w:r>
      <w:proofErr w:type="gramStart"/>
      <w:r>
        <w:rPr>
          <w:b/>
          <w:bCs/>
          <w:color w:val="1565C0"/>
          <w:sz w:val="20"/>
          <w:szCs w:val="20"/>
        </w:rPr>
        <w:t>4</w:t>
      </w:r>
      <w:r>
        <w:rPr>
          <w:i/>
          <w:iCs/>
          <w:color w:val="666666"/>
          <w:sz w:val="20"/>
          <w:szCs w:val="20"/>
        </w:rPr>
        <w:t xml:space="preserve">  ·</w:t>
      </w:r>
      <w:proofErr w:type="gramEnd"/>
      <w:r>
        <w:rPr>
          <w:i/>
          <w:iCs/>
          <w:color w:val="666666"/>
          <w:sz w:val="20"/>
          <w:szCs w:val="20"/>
        </w:rPr>
        <w:t xml:space="preserve">  Body paragraph 3</w:t>
      </w:r>
    </w:p>
    <w:p w14:paraId="255E6064" w14:textId="77777777" w:rsidR="00FD65D4" w:rsidRDefault="00660174">
      <w:pPr>
        <w:spacing w:line="480" w:lineRule="auto"/>
        <w:ind w:firstLine="720"/>
      </w:pPr>
      <w:r>
        <w:rPr>
          <w:rFonts w:ascii="Times New Roman" w:eastAsia="Times New Roman" w:hAnsi="Times New Roman" w:cs="Times New Roman"/>
          <w:sz w:val="24"/>
          <w:szCs w:val="24"/>
        </w:rPr>
        <w:t xml:space="preserve">Finally, integrating mental health care into community health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can reduce the stigma that stops many people from asking for help. A systematic review of 144 studies with more than 90,000 participants found that stigma has a small to moderate negative effect on help-seeking, and that concerns about disclosure were the most frequently reported stigma-related barrier (Clement et al., 2015). Research in the Caribbean points to the same problem. A review of studies from Jamaica, Trinidad, Haiti, and St Vincent and the Grenadines, among others, found that people with mental health conditions are often labelled “crazy,” and that shame and fear of discrimination at work and in the family discourage them from seeking care (Gallimore et al., 2023). Attitudes also shape these decisions directly: across six countries in the Americas, wanting to handle the problem on one’s own was the most common attitudinal barrier among untreated people who saw a need for help (Orozco et al., 2022). These findings suggest that much of the stigma attached to mental health care is a fear of being seen. In a small island </w:t>
      </w:r>
      <w:r>
        <w:rPr>
          <w:rFonts w:ascii="Times New Roman" w:eastAsia="Times New Roman" w:hAnsi="Times New Roman" w:cs="Times New Roman"/>
          <w:sz w:val="24"/>
          <w:szCs w:val="24"/>
        </w:rPr>
        <w:lastRenderedPageBreak/>
        <w:t xml:space="preserve">community, walking into a psychiatric clinic can feel like a public announcement. A visit to the parish health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by contrast, could be for blood pressure, a vaccine, or a counselling session, and no one needs to know which. Placing mental health care inside ordinary health services therefore lowers the risk of being seen without requiring anyone to change their beliefs first. Integrated care thus makes seeking help for the mind as ordinary as seeking help for the body.</w:t>
      </w:r>
    </w:p>
    <w:p w14:paraId="30A4B019" w14:textId="77777777" w:rsidR="00FD65D4" w:rsidRDefault="00660174">
      <w:pPr>
        <w:keepNext/>
        <w:spacing w:before="240" w:after="60"/>
      </w:pPr>
      <w:r>
        <w:rPr>
          <w:b/>
          <w:bCs/>
          <w:color w:val="1565C0"/>
          <w:sz w:val="20"/>
          <w:szCs w:val="20"/>
        </w:rPr>
        <w:t xml:space="preserve">Paragraph </w:t>
      </w:r>
      <w:proofErr w:type="gramStart"/>
      <w:r>
        <w:rPr>
          <w:b/>
          <w:bCs/>
          <w:color w:val="1565C0"/>
          <w:sz w:val="20"/>
          <w:szCs w:val="20"/>
        </w:rPr>
        <w:t>5</w:t>
      </w:r>
      <w:r>
        <w:rPr>
          <w:i/>
          <w:iCs/>
          <w:color w:val="666666"/>
          <w:sz w:val="20"/>
          <w:szCs w:val="20"/>
        </w:rPr>
        <w:t xml:space="preserve">  ·</w:t>
      </w:r>
      <w:proofErr w:type="gramEnd"/>
      <w:r>
        <w:rPr>
          <w:i/>
          <w:iCs/>
          <w:color w:val="666666"/>
          <w:sz w:val="20"/>
          <w:szCs w:val="20"/>
        </w:rPr>
        <w:t xml:space="preserve">  Conclusion</w:t>
      </w:r>
    </w:p>
    <w:p w14:paraId="39048BC5" w14:textId="77777777" w:rsidR="00FD65D4" w:rsidRDefault="00660174">
      <w:pPr>
        <w:spacing w:line="480" w:lineRule="auto"/>
        <w:ind w:firstLine="720"/>
      </w:pPr>
      <w:r>
        <w:rPr>
          <w:rFonts w:ascii="Times New Roman" w:eastAsia="Times New Roman" w:hAnsi="Times New Roman" w:cs="Times New Roman"/>
          <w:sz w:val="24"/>
          <w:szCs w:val="24"/>
        </w:rPr>
        <w:t xml:space="preserve">Integrating mental health care into community health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would remove cost barriers, bring help closer to home, and reduce stigma. Grenada has mental health services, but income, location, and fear of judgement decide who can reach them. The research reviewed here shows that these barriers fall hardest on the people with the greatest need: those with severe conditions, low incomes, and no easy way to travel. Grenada does not need to build a new system to reach them; it needs to place mental health care inside the clinics its communities already use. No one’s mental health should depend on their income or address.</w:t>
      </w:r>
    </w:p>
    <w:p w14:paraId="7E72D27D" w14:textId="77777777" w:rsidR="00FD65D4" w:rsidRDefault="00660174">
      <w:pPr>
        <w:keepNext/>
        <w:pageBreakBefore/>
        <w:spacing w:before="480" w:line="480" w:lineRule="auto"/>
        <w:jc w:val="center"/>
      </w:pPr>
      <w:r>
        <w:rPr>
          <w:rFonts w:ascii="Times New Roman" w:eastAsia="Times New Roman" w:hAnsi="Times New Roman" w:cs="Times New Roman"/>
          <w:b/>
          <w:bCs/>
          <w:sz w:val="24"/>
          <w:szCs w:val="24"/>
        </w:rPr>
        <w:lastRenderedPageBreak/>
        <w:t>References</w:t>
      </w:r>
    </w:p>
    <w:p w14:paraId="16020205" w14:textId="77777777" w:rsidR="00FD65D4" w:rsidRDefault="00660174">
      <w:pPr>
        <w:spacing w:line="480" w:lineRule="auto"/>
        <w:ind w:left="720" w:hanging="720"/>
      </w:pPr>
      <w:r>
        <w:rPr>
          <w:rFonts w:ascii="Times New Roman" w:eastAsia="Times New Roman" w:hAnsi="Times New Roman" w:cs="Times New Roman"/>
          <w:sz w:val="24"/>
          <w:szCs w:val="24"/>
        </w:rPr>
        <w:t xml:space="preserve">Clement, S., Schauman, O., Graham, T., Maggioni, F., Evans-Lacko, S., </w:t>
      </w:r>
      <w:proofErr w:type="spellStart"/>
      <w:r>
        <w:rPr>
          <w:rFonts w:ascii="Times New Roman" w:eastAsia="Times New Roman" w:hAnsi="Times New Roman" w:cs="Times New Roman"/>
          <w:sz w:val="24"/>
          <w:szCs w:val="24"/>
        </w:rPr>
        <w:t>Bezborodovs</w:t>
      </w:r>
      <w:proofErr w:type="spellEnd"/>
      <w:r>
        <w:rPr>
          <w:rFonts w:ascii="Times New Roman" w:eastAsia="Times New Roman" w:hAnsi="Times New Roman" w:cs="Times New Roman"/>
          <w:sz w:val="24"/>
          <w:szCs w:val="24"/>
        </w:rPr>
        <w:t xml:space="preserve">, N., Morgan, C., </w:t>
      </w:r>
      <w:proofErr w:type="spellStart"/>
      <w:r>
        <w:rPr>
          <w:rFonts w:ascii="Times New Roman" w:eastAsia="Times New Roman" w:hAnsi="Times New Roman" w:cs="Times New Roman"/>
          <w:sz w:val="24"/>
          <w:szCs w:val="24"/>
        </w:rPr>
        <w:t>Rüsch</w:t>
      </w:r>
      <w:proofErr w:type="spellEnd"/>
      <w:r>
        <w:rPr>
          <w:rFonts w:ascii="Times New Roman" w:eastAsia="Times New Roman" w:hAnsi="Times New Roman" w:cs="Times New Roman"/>
          <w:sz w:val="24"/>
          <w:szCs w:val="24"/>
        </w:rPr>
        <w:t xml:space="preserve">, N., Brown, J. S. L., &amp; Thornicroft, G. (2015). What is the impact of mental health-related stigma on help-seeking? A systematic review of quantitative and qualitative studies. </w:t>
      </w:r>
      <w:r>
        <w:rPr>
          <w:rFonts w:ascii="Times New Roman" w:eastAsia="Times New Roman" w:hAnsi="Times New Roman" w:cs="Times New Roman"/>
          <w:i/>
          <w:iCs/>
          <w:sz w:val="24"/>
          <w:szCs w:val="24"/>
        </w:rPr>
        <w:t>Psychological Medicine, 45</w:t>
      </w:r>
      <w:r>
        <w:rPr>
          <w:rFonts w:ascii="Times New Roman" w:eastAsia="Times New Roman" w:hAnsi="Times New Roman" w:cs="Times New Roman"/>
          <w:sz w:val="24"/>
          <w:szCs w:val="24"/>
        </w:rPr>
        <w:t>(1), 11–27. https://doi.org/10.1017/S0033291714000129</w:t>
      </w:r>
    </w:p>
    <w:p w14:paraId="66142FFD" w14:textId="77777777" w:rsidR="00FD65D4" w:rsidRDefault="00660174">
      <w:pPr>
        <w:spacing w:line="480" w:lineRule="auto"/>
        <w:ind w:left="720" w:hanging="720"/>
      </w:pPr>
      <w:r>
        <w:rPr>
          <w:rFonts w:ascii="Times New Roman" w:eastAsia="Times New Roman" w:hAnsi="Times New Roman" w:cs="Times New Roman"/>
          <w:sz w:val="24"/>
          <w:szCs w:val="24"/>
        </w:rPr>
        <w:t xml:space="preserve">Gallimore, J.-B., Diaz, K. G., Gunasinghe, C., Thornicroft, G., Salisbury, T. T., &amp; Gronholm, P. C. (2023). Impact of mental health stigma on help-seeking in the Caribbean: Systematic review. </w:t>
      </w:r>
      <w:r>
        <w:rPr>
          <w:rFonts w:ascii="Times New Roman" w:eastAsia="Times New Roman" w:hAnsi="Times New Roman" w:cs="Times New Roman"/>
          <w:i/>
          <w:iCs/>
          <w:sz w:val="24"/>
          <w:szCs w:val="24"/>
        </w:rPr>
        <w:t>PLOS ONE, 18</w:t>
      </w:r>
      <w:r>
        <w:rPr>
          <w:rFonts w:ascii="Times New Roman" w:eastAsia="Times New Roman" w:hAnsi="Times New Roman" w:cs="Times New Roman"/>
          <w:sz w:val="24"/>
          <w:szCs w:val="24"/>
        </w:rPr>
        <w:t>(9), Article e0291307. https://doi.org/10.1371/journal.pone.0291307</w:t>
      </w:r>
    </w:p>
    <w:p w14:paraId="2F81E343" w14:textId="77777777" w:rsidR="00FD65D4" w:rsidRDefault="00660174">
      <w:pPr>
        <w:spacing w:line="480" w:lineRule="auto"/>
        <w:ind w:left="720" w:hanging="720"/>
      </w:pPr>
      <w:r>
        <w:rPr>
          <w:rFonts w:ascii="Times New Roman" w:eastAsia="Times New Roman" w:hAnsi="Times New Roman" w:cs="Times New Roman"/>
          <w:sz w:val="24"/>
          <w:szCs w:val="24"/>
        </w:rPr>
        <w:t xml:space="preserve">Hoeft, T. J., Fortney, J. C., Patel, V., &amp; </w:t>
      </w:r>
      <w:proofErr w:type="spellStart"/>
      <w:r>
        <w:rPr>
          <w:rFonts w:ascii="Times New Roman" w:eastAsia="Times New Roman" w:hAnsi="Times New Roman" w:cs="Times New Roman"/>
          <w:sz w:val="24"/>
          <w:szCs w:val="24"/>
        </w:rPr>
        <w:t>Unützer</w:t>
      </w:r>
      <w:proofErr w:type="spellEnd"/>
      <w:r>
        <w:rPr>
          <w:rFonts w:ascii="Times New Roman" w:eastAsia="Times New Roman" w:hAnsi="Times New Roman" w:cs="Times New Roman"/>
          <w:sz w:val="24"/>
          <w:szCs w:val="24"/>
        </w:rPr>
        <w:t xml:space="preserve">, J. (2018). Task-sharing approaches to improve mental health care in rural and other low-resource settings: A systematic review. </w:t>
      </w:r>
      <w:r>
        <w:rPr>
          <w:rFonts w:ascii="Times New Roman" w:eastAsia="Times New Roman" w:hAnsi="Times New Roman" w:cs="Times New Roman"/>
          <w:i/>
          <w:iCs/>
          <w:sz w:val="24"/>
          <w:szCs w:val="24"/>
        </w:rPr>
        <w:t>The Journal of Rural Health, 34</w:t>
      </w:r>
      <w:r>
        <w:rPr>
          <w:rFonts w:ascii="Times New Roman" w:eastAsia="Times New Roman" w:hAnsi="Times New Roman" w:cs="Times New Roman"/>
          <w:sz w:val="24"/>
          <w:szCs w:val="24"/>
        </w:rPr>
        <w:t>(1), 48–62. https://doi.org/10.1111/jrh.12229</w:t>
      </w:r>
    </w:p>
    <w:p w14:paraId="24F85FD4" w14:textId="77777777" w:rsidR="00FD65D4" w:rsidRDefault="00660174">
      <w:pPr>
        <w:spacing w:line="480" w:lineRule="auto"/>
        <w:ind w:left="720" w:hanging="720"/>
      </w:pPr>
      <w:r>
        <w:rPr>
          <w:rFonts w:ascii="Times New Roman" w:eastAsia="Times New Roman" w:hAnsi="Times New Roman" w:cs="Times New Roman"/>
          <w:sz w:val="24"/>
          <w:szCs w:val="24"/>
        </w:rPr>
        <w:t xml:space="preserve">Kohn, R., Ali, A. A., Puac-Polanco, V., Figueroa, C., López-Soto, V., Morgan, K., Saldivia, S., &amp; Vicente, B. (2018). Mental health in the Americas: An overview of the treatment gap. </w:t>
      </w:r>
      <w:r>
        <w:rPr>
          <w:rFonts w:ascii="Times New Roman" w:eastAsia="Times New Roman" w:hAnsi="Times New Roman" w:cs="Times New Roman"/>
          <w:i/>
          <w:iCs/>
          <w:sz w:val="24"/>
          <w:szCs w:val="24"/>
        </w:rPr>
        <w:t>Revista Panamericana de Salud Pública, 42</w:t>
      </w:r>
      <w:r>
        <w:rPr>
          <w:rFonts w:ascii="Times New Roman" w:eastAsia="Times New Roman" w:hAnsi="Times New Roman" w:cs="Times New Roman"/>
          <w:sz w:val="24"/>
          <w:szCs w:val="24"/>
        </w:rPr>
        <w:t>, Article e165. https://doi.org/10.26633/RPSP.2018.165</w:t>
      </w:r>
    </w:p>
    <w:p w14:paraId="6780FD5D" w14:textId="77777777" w:rsidR="00FD65D4" w:rsidRDefault="00660174">
      <w:pPr>
        <w:spacing w:line="480" w:lineRule="auto"/>
        <w:ind w:left="720" w:hanging="720"/>
      </w:pPr>
      <w:r>
        <w:rPr>
          <w:rFonts w:ascii="Times New Roman" w:eastAsia="Times New Roman" w:hAnsi="Times New Roman" w:cs="Times New Roman"/>
          <w:sz w:val="24"/>
          <w:szCs w:val="24"/>
        </w:rPr>
        <w:t xml:space="preserve">Lund, C., De Silva, M., </w:t>
      </w:r>
      <w:proofErr w:type="spellStart"/>
      <w:r>
        <w:rPr>
          <w:rFonts w:ascii="Times New Roman" w:eastAsia="Times New Roman" w:hAnsi="Times New Roman" w:cs="Times New Roman"/>
          <w:sz w:val="24"/>
          <w:szCs w:val="24"/>
        </w:rPr>
        <w:t>Plagerson</w:t>
      </w:r>
      <w:proofErr w:type="spellEnd"/>
      <w:r>
        <w:rPr>
          <w:rFonts w:ascii="Times New Roman" w:eastAsia="Times New Roman" w:hAnsi="Times New Roman" w:cs="Times New Roman"/>
          <w:sz w:val="24"/>
          <w:szCs w:val="24"/>
        </w:rPr>
        <w:t xml:space="preserve">, S., Cooper, S., Chisholm, D., Das, J., Knapp, M., &amp; Patel, V. (2011). Poverty and mental disorders: Breaking the cycle in low-income and middle-income countries. </w:t>
      </w:r>
      <w:r>
        <w:rPr>
          <w:rFonts w:ascii="Times New Roman" w:eastAsia="Times New Roman" w:hAnsi="Times New Roman" w:cs="Times New Roman"/>
          <w:i/>
          <w:iCs/>
          <w:sz w:val="24"/>
          <w:szCs w:val="24"/>
        </w:rPr>
        <w:t>The Lancet, 378</w:t>
      </w:r>
      <w:r>
        <w:rPr>
          <w:rFonts w:ascii="Times New Roman" w:eastAsia="Times New Roman" w:hAnsi="Times New Roman" w:cs="Times New Roman"/>
          <w:sz w:val="24"/>
          <w:szCs w:val="24"/>
        </w:rPr>
        <w:t>(9801), 1502–1514. https://doi.org/10.1016/S0140-6736(11)60754-X</w:t>
      </w:r>
    </w:p>
    <w:p w14:paraId="5A84BF36" w14:textId="77777777" w:rsidR="00FD65D4" w:rsidRDefault="00660174">
      <w:pPr>
        <w:spacing w:line="480" w:lineRule="auto"/>
        <w:ind w:left="720" w:hanging="720"/>
      </w:pPr>
      <w:r>
        <w:rPr>
          <w:rFonts w:ascii="Times New Roman" w:eastAsia="Times New Roman" w:hAnsi="Times New Roman" w:cs="Times New Roman"/>
          <w:sz w:val="24"/>
          <w:szCs w:val="24"/>
        </w:rPr>
        <w:t xml:space="preserve">Orozco, R., Vigo, D., </w:t>
      </w:r>
      <w:proofErr w:type="spellStart"/>
      <w:r>
        <w:rPr>
          <w:rFonts w:ascii="Times New Roman" w:eastAsia="Times New Roman" w:hAnsi="Times New Roman" w:cs="Times New Roman"/>
          <w:sz w:val="24"/>
          <w:szCs w:val="24"/>
        </w:rPr>
        <w:t>Benjet</w:t>
      </w:r>
      <w:proofErr w:type="spellEnd"/>
      <w:r>
        <w:rPr>
          <w:rFonts w:ascii="Times New Roman" w:eastAsia="Times New Roman" w:hAnsi="Times New Roman" w:cs="Times New Roman"/>
          <w:sz w:val="24"/>
          <w:szCs w:val="24"/>
        </w:rPr>
        <w:t xml:space="preserve">, C., Borges, G., Aguilar-Gaxiola, S., Andrade, L. H., Cia, A., Hwang, I., Kessler, R. C., Piazza, M., Posada-Villa, J., </w:t>
      </w:r>
      <w:proofErr w:type="spellStart"/>
      <w:r>
        <w:rPr>
          <w:rFonts w:ascii="Times New Roman" w:eastAsia="Times New Roman" w:hAnsi="Times New Roman" w:cs="Times New Roman"/>
          <w:sz w:val="24"/>
          <w:szCs w:val="24"/>
        </w:rPr>
        <w:t>Rafful</w:t>
      </w:r>
      <w:proofErr w:type="spellEnd"/>
      <w:r>
        <w:rPr>
          <w:rFonts w:ascii="Times New Roman" w:eastAsia="Times New Roman" w:hAnsi="Times New Roman" w:cs="Times New Roman"/>
          <w:sz w:val="24"/>
          <w:szCs w:val="24"/>
        </w:rPr>
        <w:t xml:space="preserve">, C., Sampson, N., </w:t>
      </w:r>
      <w:r>
        <w:rPr>
          <w:rFonts w:ascii="Times New Roman" w:eastAsia="Times New Roman" w:hAnsi="Times New Roman" w:cs="Times New Roman"/>
          <w:sz w:val="24"/>
          <w:szCs w:val="24"/>
        </w:rPr>
        <w:lastRenderedPageBreak/>
        <w:t xml:space="preserve">Stagnaro, J. C., Torres, Y., Viana, M. C., &amp; Medina-Mora, M. E. (2022). Barriers to treatment for mental disorders in six countries of the Americas: A regional report from the World Mental Health Surveys. </w:t>
      </w:r>
      <w:r>
        <w:rPr>
          <w:rFonts w:ascii="Times New Roman" w:eastAsia="Times New Roman" w:hAnsi="Times New Roman" w:cs="Times New Roman"/>
          <w:i/>
          <w:iCs/>
          <w:sz w:val="24"/>
          <w:szCs w:val="24"/>
        </w:rPr>
        <w:t>Journal of Affective Disorders, 303</w:t>
      </w:r>
      <w:r>
        <w:rPr>
          <w:rFonts w:ascii="Times New Roman" w:eastAsia="Times New Roman" w:hAnsi="Times New Roman" w:cs="Times New Roman"/>
          <w:sz w:val="24"/>
          <w:szCs w:val="24"/>
        </w:rPr>
        <w:t>, 273–285. https://doi.org/10.1016/j.jad.2022.02.031</w:t>
      </w:r>
    </w:p>
    <w:p w14:paraId="31A86012" w14:textId="77777777" w:rsidR="00FD65D4" w:rsidRDefault="00660174">
      <w:pPr>
        <w:spacing w:line="480" w:lineRule="auto"/>
        <w:ind w:left="720" w:hanging="720"/>
      </w:pPr>
      <w:r>
        <w:rPr>
          <w:rFonts w:ascii="Times New Roman" w:eastAsia="Times New Roman" w:hAnsi="Times New Roman" w:cs="Times New Roman"/>
          <w:sz w:val="24"/>
          <w:szCs w:val="24"/>
        </w:rPr>
        <w:t xml:space="preserve">Roberts, T., </w:t>
      </w:r>
      <w:proofErr w:type="spellStart"/>
      <w:r>
        <w:rPr>
          <w:rFonts w:ascii="Times New Roman" w:eastAsia="Times New Roman" w:hAnsi="Times New Roman" w:cs="Times New Roman"/>
          <w:sz w:val="24"/>
          <w:szCs w:val="24"/>
        </w:rPr>
        <w:t>Shidhaye</w:t>
      </w:r>
      <w:proofErr w:type="spellEnd"/>
      <w:r>
        <w:rPr>
          <w:rFonts w:ascii="Times New Roman" w:eastAsia="Times New Roman" w:hAnsi="Times New Roman" w:cs="Times New Roman"/>
          <w:sz w:val="24"/>
          <w:szCs w:val="24"/>
        </w:rPr>
        <w:t xml:space="preserve">, R., Patel, V., &amp; Rathod, S. D. (2020). Health care use and treatment-seeking for depression symptoms in rural India: An exploratory cross-sectional analysis. </w:t>
      </w:r>
      <w:r>
        <w:rPr>
          <w:rFonts w:ascii="Times New Roman" w:eastAsia="Times New Roman" w:hAnsi="Times New Roman" w:cs="Times New Roman"/>
          <w:i/>
          <w:iCs/>
          <w:sz w:val="24"/>
          <w:szCs w:val="24"/>
        </w:rPr>
        <w:t>BMC Health Services Research, 20</w:t>
      </w:r>
      <w:r>
        <w:rPr>
          <w:rFonts w:ascii="Times New Roman" w:eastAsia="Times New Roman" w:hAnsi="Times New Roman" w:cs="Times New Roman"/>
          <w:sz w:val="24"/>
          <w:szCs w:val="24"/>
        </w:rPr>
        <w:t>, Article 287. https://doi.org/10.1186/s12913-020-05162-0</w:t>
      </w:r>
    </w:p>
    <w:p w14:paraId="237A6A22" w14:textId="77777777" w:rsidR="00FD65D4" w:rsidRDefault="00660174">
      <w:pPr>
        <w:spacing w:line="480" w:lineRule="auto"/>
        <w:ind w:left="720" w:hanging="720"/>
      </w:pPr>
      <w:r>
        <w:rPr>
          <w:rFonts w:ascii="Times New Roman" w:eastAsia="Times New Roman" w:hAnsi="Times New Roman" w:cs="Times New Roman"/>
          <w:sz w:val="24"/>
          <w:szCs w:val="24"/>
        </w:rPr>
        <w:t xml:space="preserve">Syed, S. T., Gerber, B. S., &amp; Sharp, L. K. (2013). Traveling towards disease: Transportation barriers to health care access. </w:t>
      </w:r>
      <w:r>
        <w:rPr>
          <w:rFonts w:ascii="Times New Roman" w:eastAsia="Times New Roman" w:hAnsi="Times New Roman" w:cs="Times New Roman"/>
          <w:i/>
          <w:iCs/>
          <w:sz w:val="24"/>
          <w:szCs w:val="24"/>
        </w:rPr>
        <w:t>Journal of Community Health, 38</w:t>
      </w:r>
      <w:r>
        <w:rPr>
          <w:rFonts w:ascii="Times New Roman" w:eastAsia="Times New Roman" w:hAnsi="Times New Roman" w:cs="Times New Roman"/>
          <w:sz w:val="24"/>
          <w:szCs w:val="24"/>
        </w:rPr>
        <w:t>(5), 976–993. https://doi.org/10.1007/s10900-013-9681-1</w:t>
      </w:r>
    </w:p>
    <w:p w14:paraId="2A465ACB" w14:textId="77777777" w:rsidR="00FD65D4" w:rsidRDefault="00660174">
      <w:pPr>
        <w:spacing w:line="480" w:lineRule="auto"/>
        <w:ind w:left="720" w:hanging="720"/>
      </w:pPr>
      <w:r>
        <w:rPr>
          <w:rFonts w:ascii="Times New Roman" w:eastAsia="Times New Roman" w:hAnsi="Times New Roman" w:cs="Times New Roman"/>
          <w:sz w:val="24"/>
          <w:szCs w:val="24"/>
        </w:rPr>
        <w:t xml:space="preserve">Walker, E. R., Cummings, J. R., Hockenberry, J. M., &amp; Druss, B. G. (2015). Insurance status, use of mental health services, and unmet need for mental health care in the United States. </w:t>
      </w:r>
      <w:r>
        <w:rPr>
          <w:rFonts w:ascii="Times New Roman" w:eastAsia="Times New Roman" w:hAnsi="Times New Roman" w:cs="Times New Roman"/>
          <w:i/>
          <w:iCs/>
          <w:sz w:val="24"/>
          <w:szCs w:val="24"/>
        </w:rPr>
        <w:t>Psychiatric Services, 66</w:t>
      </w:r>
      <w:r>
        <w:rPr>
          <w:rFonts w:ascii="Times New Roman" w:eastAsia="Times New Roman" w:hAnsi="Times New Roman" w:cs="Times New Roman"/>
          <w:sz w:val="24"/>
          <w:szCs w:val="24"/>
        </w:rPr>
        <w:t>(6), 578–584. https://doi.org/10.1176/appi.ps.201400248</w:t>
      </w:r>
    </w:p>
    <w:p w14:paraId="6815D950" w14:textId="77777777" w:rsidR="00FD65D4" w:rsidRDefault="00660174">
      <w:pPr>
        <w:pageBreakBefore/>
        <w:spacing w:after="120"/>
      </w:pPr>
      <w:r>
        <w:rPr>
          <w:b/>
          <w:bCs/>
          <w:color w:val="1565C0"/>
          <w:sz w:val="28"/>
          <w:szCs w:val="28"/>
        </w:rPr>
        <w:lastRenderedPageBreak/>
        <w:t>Reverse Outline Worksheet</w:t>
      </w:r>
    </w:p>
    <w:p w14:paraId="293EBB6A" w14:textId="77777777" w:rsidR="00FD65D4" w:rsidRDefault="00660174">
      <w:pPr>
        <w:spacing w:after="200"/>
      </w:pPr>
      <w:r>
        <w:rPr>
          <w:color w:val="444444"/>
        </w:rPr>
        <w:t>Work backwards from the finished essay to reveal its plan. Use your own words where you 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D65D4" w14:paraId="6C3BAF9C"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565C0"/>
            <w:tcMar>
              <w:top w:w="100" w:type="dxa"/>
              <w:left w:w="120" w:type="dxa"/>
              <w:bottom w:w="100" w:type="dxa"/>
              <w:right w:w="120" w:type="dxa"/>
            </w:tcMar>
          </w:tcPr>
          <w:p w14:paraId="66A893D1" w14:textId="77777777" w:rsidR="00FD65D4" w:rsidRDefault="00660174">
            <w:r>
              <w:rPr>
                <w:b/>
                <w:bCs/>
                <w:color w:val="FFFFFF"/>
              </w:rPr>
              <w:t>Paragraph 3: Body paragraph 2</w:t>
            </w:r>
          </w:p>
        </w:tc>
      </w:tr>
      <w:tr w:rsidR="00FD65D4" w14:paraId="75AE4BD0"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48CCE916" w14:textId="77777777" w:rsidR="00FD65D4" w:rsidRDefault="00660174">
            <w:proofErr w:type="gramStart"/>
            <w:r>
              <w:rPr>
                <w:b/>
                <w:bCs/>
              </w:rPr>
              <w:t>M  Main</w:t>
            </w:r>
            <w:proofErr w:type="gramEnd"/>
            <w:r>
              <w:rPr>
                <w:b/>
                <w:bCs/>
              </w:rPr>
              <w:t xml:space="preserve"> idea</w:t>
            </w:r>
          </w:p>
          <w:p w14:paraId="7816BCBE" w14:textId="77777777" w:rsidR="00FD65D4" w:rsidRDefault="00660174">
            <w:r>
              <w:rPr>
                <w:i/>
                <w:iCs/>
                <w:color w:val="555555"/>
                <w:sz w:val="18"/>
                <w:szCs w:val="18"/>
              </w:rPr>
              <w:t>Copy or paraphrase the topic sentence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1B53B75E" w14:textId="77777777" w:rsidR="00FD65D4" w:rsidRDefault="00FD65D4"/>
        </w:tc>
      </w:tr>
      <w:tr w:rsidR="00FD65D4" w14:paraId="0E144C88"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A9F7362" w14:textId="77777777" w:rsidR="00FD65D4" w:rsidRDefault="00660174">
            <w:proofErr w:type="gramStart"/>
            <w:r>
              <w:rPr>
                <w:b/>
                <w:bCs/>
              </w:rPr>
              <w:t>E  Evidence</w:t>
            </w:r>
            <w:proofErr w:type="gramEnd"/>
          </w:p>
          <w:p w14:paraId="121A4428" w14:textId="77777777" w:rsidR="00FD65D4" w:rsidRDefault="00660174">
            <w:r>
              <w:rPr>
                <w:i/>
                <w:iCs/>
                <w:color w:val="555555"/>
                <w:sz w:val="18"/>
                <w:szCs w:val="18"/>
              </w:rPr>
              <w:t>List each piece of evidence and its source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14B565EF" w14:textId="77777777" w:rsidR="00FD65D4" w:rsidRDefault="00FD65D4"/>
        </w:tc>
      </w:tr>
      <w:tr w:rsidR="00FD65D4" w14:paraId="4F2A99F3"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BC8B48E" w14:textId="77777777" w:rsidR="00FD65D4" w:rsidRDefault="00660174">
            <w:proofErr w:type="gramStart"/>
            <w:r>
              <w:rPr>
                <w:b/>
                <w:bCs/>
              </w:rPr>
              <w:t>A  Analysis</w:t>
            </w:r>
            <w:proofErr w:type="gramEnd"/>
          </w:p>
          <w:p w14:paraId="1DC37970" w14:textId="77777777" w:rsidR="00FD65D4" w:rsidRDefault="00660174">
            <w:r>
              <w:rPr>
                <w:i/>
                <w:iCs/>
                <w:color w:val="555555"/>
                <w:sz w:val="18"/>
                <w:szCs w:val="18"/>
              </w:rPr>
              <w:t>How does the writer explain the evidence?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6F168CF6" w14:textId="77777777" w:rsidR="00FD65D4" w:rsidRDefault="00FD65D4"/>
        </w:tc>
      </w:tr>
      <w:tr w:rsidR="00FD65D4" w14:paraId="3448D761"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060DE5D" w14:textId="77777777" w:rsidR="00FD65D4" w:rsidRDefault="00660174">
            <w:proofErr w:type="gramStart"/>
            <w:r>
              <w:rPr>
                <w:b/>
                <w:bCs/>
              </w:rPr>
              <w:t>L  Link</w:t>
            </w:r>
            <w:proofErr w:type="gramEnd"/>
          </w:p>
          <w:p w14:paraId="0F3F5C85" w14:textId="77777777" w:rsidR="00FD65D4" w:rsidRDefault="00660174">
            <w:r>
              <w:rPr>
                <w:i/>
                <w:iCs/>
                <w:color w:val="555555"/>
                <w:sz w:val="18"/>
                <w:szCs w:val="18"/>
              </w:rPr>
              <w:t>How does it tie back to the thesis?</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0CCD1FC7" w14:textId="77777777" w:rsidR="00FD65D4" w:rsidRDefault="00FD65D4"/>
        </w:tc>
      </w:tr>
      <w:tr w:rsidR="00FD65D4" w14:paraId="42D1493B"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565C0"/>
            <w:tcMar>
              <w:top w:w="100" w:type="dxa"/>
              <w:left w:w="120" w:type="dxa"/>
              <w:bottom w:w="100" w:type="dxa"/>
              <w:right w:w="120" w:type="dxa"/>
            </w:tcMar>
          </w:tcPr>
          <w:p w14:paraId="697B8604" w14:textId="77777777" w:rsidR="00FD65D4" w:rsidRDefault="00660174">
            <w:r>
              <w:rPr>
                <w:b/>
                <w:bCs/>
                <w:color w:val="FFFFFF"/>
              </w:rPr>
              <w:t>Paragraph 4: Body paragraph 3</w:t>
            </w:r>
          </w:p>
        </w:tc>
      </w:tr>
      <w:tr w:rsidR="00FD65D4" w14:paraId="753BD157"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71F326FC" w14:textId="77777777" w:rsidR="00FD65D4" w:rsidRDefault="00660174">
            <w:proofErr w:type="gramStart"/>
            <w:r>
              <w:rPr>
                <w:b/>
                <w:bCs/>
              </w:rPr>
              <w:t>M  Main</w:t>
            </w:r>
            <w:proofErr w:type="gramEnd"/>
            <w:r>
              <w:rPr>
                <w:b/>
                <w:bCs/>
              </w:rPr>
              <w:t xml:space="preserve"> idea</w:t>
            </w:r>
          </w:p>
          <w:p w14:paraId="182B877D" w14:textId="77777777" w:rsidR="00FD65D4" w:rsidRDefault="00660174">
            <w:r>
              <w:rPr>
                <w:i/>
                <w:iCs/>
                <w:color w:val="555555"/>
                <w:sz w:val="18"/>
                <w:szCs w:val="18"/>
              </w:rPr>
              <w:t>Copy or paraphrase the topic sentence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58F9764A" w14:textId="77777777" w:rsidR="00FD65D4" w:rsidRDefault="00FD65D4"/>
        </w:tc>
      </w:tr>
      <w:tr w:rsidR="00FD65D4" w14:paraId="48385E8A"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12DAFC5B" w14:textId="77777777" w:rsidR="00FD65D4" w:rsidRDefault="00660174">
            <w:proofErr w:type="gramStart"/>
            <w:r>
              <w:rPr>
                <w:b/>
                <w:bCs/>
              </w:rPr>
              <w:t>E  Evidence</w:t>
            </w:r>
            <w:proofErr w:type="gramEnd"/>
          </w:p>
          <w:p w14:paraId="760FEB5F" w14:textId="77777777" w:rsidR="00FD65D4" w:rsidRDefault="00660174">
            <w:r>
              <w:rPr>
                <w:i/>
                <w:iCs/>
                <w:color w:val="555555"/>
                <w:sz w:val="18"/>
                <w:szCs w:val="18"/>
              </w:rPr>
              <w:t>List each piece of evidence and its source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5BC5A42E" w14:textId="77777777" w:rsidR="00FD65D4" w:rsidRDefault="00FD65D4"/>
        </w:tc>
      </w:tr>
      <w:tr w:rsidR="00FD65D4" w14:paraId="342D09DA"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58FA834" w14:textId="77777777" w:rsidR="00FD65D4" w:rsidRDefault="00660174">
            <w:proofErr w:type="gramStart"/>
            <w:r>
              <w:rPr>
                <w:b/>
                <w:bCs/>
              </w:rPr>
              <w:t>A  Analysis</w:t>
            </w:r>
            <w:proofErr w:type="gramEnd"/>
          </w:p>
          <w:p w14:paraId="6334A516" w14:textId="77777777" w:rsidR="00FD65D4" w:rsidRDefault="00660174">
            <w:r>
              <w:rPr>
                <w:i/>
                <w:iCs/>
                <w:color w:val="555555"/>
                <w:sz w:val="18"/>
                <w:szCs w:val="18"/>
              </w:rPr>
              <w:t>How does the writer explain the evidence?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75AE20CB" w14:textId="77777777" w:rsidR="00FD65D4" w:rsidRDefault="00FD65D4"/>
        </w:tc>
      </w:tr>
      <w:tr w:rsidR="00FD65D4" w14:paraId="627E96F4" w14:textId="77777777">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EDFBEA5" w14:textId="77777777" w:rsidR="00FD65D4" w:rsidRDefault="00660174">
            <w:proofErr w:type="gramStart"/>
            <w:r>
              <w:rPr>
                <w:b/>
                <w:bCs/>
              </w:rPr>
              <w:lastRenderedPageBreak/>
              <w:t>L  Link</w:t>
            </w:r>
            <w:proofErr w:type="gramEnd"/>
          </w:p>
          <w:p w14:paraId="28A1A09A" w14:textId="77777777" w:rsidR="00FD65D4" w:rsidRDefault="00660174">
            <w:r>
              <w:rPr>
                <w:i/>
                <w:iCs/>
                <w:color w:val="555555"/>
                <w:sz w:val="18"/>
                <w:szCs w:val="18"/>
              </w:rPr>
              <w:t>How does it tie back to the thesis?</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5B9AF38F" w14:textId="77777777" w:rsidR="00FD65D4" w:rsidRDefault="00FD65D4"/>
        </w:tc>
      </w:tr>
    </w:tbl>
    <w:tbl>
      <w:tblPr>
        <w:tblpPr w:leftFromText="180" w:rightFromText="180" w:vertAnchor="text" w:horzAnchor="margin" w:tblpY="-230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619AE" w14:paraId="2EA816A8" w14:textId="77777777" w:rsidTr="00B619AE">
        <w:tc>
          <w:tcPr>
            <w:tcW w:w="9360" w:type="dxa"/>
            <w:gridSpan w:val="2"/>
            <w:tcBorders>
              <w:top w:val="single" w:sz="4" w:space="0" w:color="B0C4D8"/>
              <w:left w:val="single" w:sz="4" w:space="0" w:color="B0C4D8"/>
              <w:bottom w:val="single" w:sz="4" w:space="0" w:color="B0C4D8"/>
              <w:right w:val="single" w:sz="4" w:space="0" w:color="B0C4D8"/>
            </w:tcBorders>
            <w:shd w:val="clear" w:color="auto" w:fill="1565C0"/>
            <w:tcMar>
              <w:top w:w="100" w:type="dxa"/>
              <w:left w:w="120" w:type="dxa"/>
              <w:bottom w:w="100" w:type="dxa"/>
              <w:right w:w="120" w:type="dxa"/>
            </w:tcMar>
          </w:tcPr>
          <w:p w14:paraId="2D9455B0" w14:textId="77777777" w:rsidR="00B619AE" w:rsidRDefault="00B619AE" w:rsidP="00B619AE">
            <w:r>
              <w:rPr>
                <w:b/>
                <w:bCs/>
                <w:color w:val="FFFFFF"/>
              </w:rPr>
              <w:t>Paragraph 5: Conclusion</w:t>
            </w:r>
          </w:p>
        </w:tc>
      </w:tr>
      <w:tr w:rsidR="00B619AE" w14:paraId="4500FE56" w14:textId="77777777" w:rsidTr="00B619AE">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0179FD15" w14:textId="77777777" w:rsidR="00B619AE" w:rsidRDefault="00B619AE" w:rsidP="00B619AE">
            <w:r>
              <w:rPr>
                <w:b/>
                <w:bCs/>
              </w:rPr>
              <w:t>Restated thesis</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3FEEBE22" w14:textId="77777777" w:rsidR="00B619AE" w:rsidRDefault="00B619AE" w:rsidP="00B619AE"/>
        </w:tc>
      </w:tr>
      <w:tr w:rsidR="00B619AE" w14:paraId="44025675" w14:textId="77777777" w:rsidTr="00B619AE">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522A0255" w14:textId="77777777" w:rsidR="00B619AE" w:rsidRDefault="00B619AE" w:rsidP="00B619AE">
            <w:r>
              <w:rPr>
                <w:b/>
                <w:bCs/>
              </w:rPr>
              <w:t>Synthesis</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30A84F98" w14:textId="77777777" w:rsidR="00B619AE" w:rsidRDefault="00B619AE" w:rsidP="00B619AE"/>
        </w:tc>
      </w:tr>
      <w:tr w:rsidR="00B619AE" w14:paraId="61CB9E61" w14:textId="77777777" w:rsidTr="00B619AE">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28BB90FC" w14:textId="77777777" w:rsidR="00B619AE" w:rsidRDefault="00B619AE" w:rsidP="00B619AE">
            <w:r>
              <w:rPr>
                <w:b/>
                <w:bCs/>
              </w:rPr>
              <w:t>Closing implication</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3EB5DC27" w14:textId="77777777" w:rsidR="00B619AE" w:rsidRDefault="00B619AE" w:rsidP="00B619AE"/>
        </w:tc>
      </w:tr>
      <w:tr w:rsidR="00B619AE" w14:paraId="073927E7" w14:textId="77777777" w:rsidTr="00B619AE">
        <w:tc>
          <w:tcPr>
            <w:tcW w:w="9360" w:type="dxa"/>
            <w:gridSpan w:val="2"/>
            <w:tcBorders>
              <w:top w:val="single" w:sz="4" w:space="0" w:color="B0C4D8"/>
              <w:left w:val="single" w:sz="4" w:space="0" w:color="B0C4D8"/>
              <w:bottom w:val="single" w:sz="4" w:space="0" w:color="B0C4D8"/>
              <w:right w:val="single" w:sz="4" w:space="0" w:color="B0C4D8"/>
            </w:tcBorders>
            <w:shd w:val="clear" w:color="auto" w:fill="1565C0"/>
            <w:tcMar>
              <w:top w:w="100" w:type="dxa"/>
              <w:left w:w="120" w:type="dxa"/>
              <w:bottom w:w="100" w:type="dxa"/>
              <w:right w:w="120" w:type="dxa"/>
            </w:tcMar>
          </w:tcPr>
          <w:p w14:paraId="5B87E3C0" w14:textId="77777777" w:rsidR="00B619AE" w:rsidRDefault="00B619AE" w:rsidP="00B619AE">
            <w:r>
              <w:rPr>
                <w:b/>
                <w:bCs/>
                <w:color w:val="FFFFFF"/>
              </w:rPr>
              <w:t>Big picture</w:t>
            </w:r>
          </w:p>
        </w:tc>
      </w:tr>
      <w:tr w:rsidR="00B619AE" w14:paraId="40420364" w14:textId="77777777" w:rsidTr="00B619AE">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6BC72A7" w14:textId="77777777" w:rsidR="00B619AE" w:rsidRDefault="00B619AE" w:rsidP="00B619AE">
            <w:r>
              <w:rPr>
                <w:b/>
                <w:bCs/>
              </w:rPr>
              <w:t>Essay type</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7687512C" w14:textId="77777777" w:rsidR="00B619AE" w:rsidRDefault="00B619AE" w:rsidP="00B619AE"/>
        </w:tc>
      </w:tr>
      <w:tr w:rsidR="00B619AE" w14:paraId="5133BA90" w14:textId="77777777" w:rsidTr="00B619AE">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3F88D74A" w14:textId="77777777" w:rsidR="00B619AE" w:rsidRDefault="00B619AE" w:rsidP="00B619AE">
            <w:r>
              <w:rPr>
                <w:b/>
                <w:bCs/>
              </w:rPr>
              <w:t>Main pattern of development</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7FB8020D" w14:textId="77777777" w:rsidR="00B619AE" w:rsidRDefault="00B619AE" w:rsidP="00B619AE"/>
        </w:tc>
      </w:tr>
      <w:tr w:rsidR="00B619AE" w14:paraId="3BDD448C" w14:textId="77777777" w:rsidTr="00B619AE">
        <w:trPr>
          <w:cantSplit/>
          <w:trHeight w:val="1250"/>
        </w:trPr>
        <w:tc>
          <w:tcPr>
            <w:tcW w:w="2600" w:type="dxa"/>
            <w:tcBorders>
              <w:top w:val="single" w:sz="4" w:space="0" w:color="B0C4D8"/>
              <w:left w:val="single" w:sz="4" w:space="0" w:color="B0C4D8"/>
              <w:bottom w:val="single" w:sz="4" w:space="0" w:color="B0C4D8"/>
              <w:right w:val="single" w:sz="4" w:space="0" w:color="B0C4D8"/>
            </w:tcBorders>
            <w:shd w:val="clear" w:color="auto" w:fill="E3F0FA"/>
            <w:tcMar>
              <w:top w:w="100" w:type="dxa"/>
              <w:left w:w="120" w:type="dxa"/>
              <w:bottom w:w="100" w:type="dxa"/>
              <w:right w:w="120" w:type="dxa"/>
            </w:tcMar>
          </w:tcPr>
          <w:p w14:paraId="4888FA4F" w14:textId="77777777" w:rsidR="00B619AE" w:rsidRDefault="00B619AE" w:rsidP="00B619AE">
            <w:r>
              <w:rPr>
                <w:b/>
                <w:bCs/>
              </w:rPr>
              <w:t>How do you know?</w:t>
            </w:r>
          </w:p>
          <w:p w14:paraId="49F773ED" w14:textId="77777777" w:rsidR="00B619AE" w:rsidRDefault="00B619AE" w:rsidP="00B619AE">
            <w:r>
              <w:rPr>
                <w:i/>
                <w:iCs/>
                <w:color w:val="555555"/>
                <w:sz w:val="18"/>
                <w:szCs w:val="18"/>
              </w:rPr>
              <w:t>Point to specific words or sentences</w:t>
            </w:r>
          </w:p>
        </w:tc>
        <w:tc>
          <w:tcPr>
            <w:tcW w:w="6760" w:type="dxa"/>
            <w:tcBorders>
              <w:top w:val="single" w:sz="4" w:space="0" w:color="B0C4D8"/>
              <w:left w:val="single" w:sz="4" w:space="0" w:color="B0C4D8"/>
              <w:bottom w:val="single" w:sz="4" w:space="0" w:color="B0C4D8"/>
              <w:right w:val="single" w:sz="4" w:space="0" w:color="B0C4D8"/>
            </w:tcBorders>
            <w:tcMar>
              <w:top w:w="100" w:type="dxa"/>
              <w:left w:w="120" w:type="dxa"/>
              <w:bottom w:w="100" w:type="dxa"/>
              <w:right w:w="120" w:type="dxa"/>
            </w:tcMar>
          </w:tcPr>
          <w:p w14:paraId="35273306" w14:textId="77777777" w:rsidR="00B619AE" w:rsidRDefault="00B619AE" w:rsidP="00B619AE"/>
        </w:tc>
      </w:tr>
    </w:tbl>
    <w:p w14:paraId="463E731A" w14:textId="6BF6C892" w:rsidR="00FD65D4" w:rsidRDefault="00B619AE">
      <w:pPr>
        <w:spacing w:before="240"/>
      </w:pPr>
      <w:r>
        <w:rPr>
          <w:b/>
          <w:bCs/>
          <w:color w:val="1565C0"/>
        </w:rPr>
        <w:t>Respond to this question</w:t>
      </w:r>
      <w:r w:rsidR="00660174">
        <w:rPr>
          <w:b/>
          <w:bCs/>
          <w:color w:val="1565C0"/>
        </w:rPr>
        <w:t xml:space="preserve">: </w:t>
      </w:r>
      <w:r w:rsidR="00660174">
        <w:t>In Paragraph 3, find the sentence that begins with “However.” Why would a writer include evidence that partly works against their own claim? How does the next sentence handle it?</w:t>
      </w:r>
    </w:p>
    <w:sectPr w:rsidR="00FD65D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D2EC97" w14:textId="77777777" w:rsidR="000E10F3" w:rsidRDefault="000E10F3">
      <w:r>
        <w:separator/>
      </w:r>
    </w:p>
  </w:endnote>
  <w:endnote w:type="continuationSeparator" w:id="0">
    <w:p w14:paraId="5BC2C41C" w14:textId="77777777" w:rsidR="000E10F3" w:rsidRDefault="000E1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1ACF0" w14:textId="77777777" w:rsidR="00FD65D4" w:rsidRDefault="00660174">
    <w:pPr>
      <w:jc w:val="center"/>
    </w:pPr>
    <w:r>
      <w:rPr>
        <w:color w:val="777777"/>
        <w:sz w:val="18"/>
        <w:szCs w:val="18"/>
      </w:rPr>
      <w:t xml:space="preserve">ENGL 002 Foundation </w:t>
    </w:r>
    <w:proofErr w:type="gramStart"/>
    <w:r>
      <w:rPr>
        <w:color w:val="777777"/>
        <w:sz w:val="18"/>
        <w:szCs w:val="18"/>
      </w:rPr>
      <w:t>English  ·</w:t>
    </w:r>
    <w:proofErr w:type="gramEnd"/>
    <w:r>
      <w:rPr>
        <w:color w:val="777777"/>
        <w:sz w:val="18"/>
        <w:szCs w:val="18"/>
      </w:rPr>
      <w:t xml:space="preserve">  Week 9 Model </w:t>
    </w:r>
    <w:proofErr w:type="gramStart"/>
    <w:r>
      <w:rPr>
        <w:color w:val="777777"/>
        <w:sz w:val="18"/>
        <w:szCs w:val="18"/>
      </w:rPr>
      <w:t>Essay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619AE">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21F6F7" w14:textId="77777777" w:rsidR="000E10F3" w:rsidRDefault="000E10F3">
      <w:r>
        <w:separator/>
      </w:r>
    </w:p>
  </w:footnote>
  <w:footnote w:type="continuationSeparator" w:id="0">
    <w:p w14:paraId="5580E8C0" w14:textId="77777777" w:rsidR="000E10F3" w:rsidRDefault="000E10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E13891"/>
    <w:multiLevelType w:val="hybridMultilevel"/>
    <w:tmpl w:val="94E8FE36"/>
    <w:lvl w:ilvl="0" w:tplc="F9EEB038">
      <w:start w:val="1"/>
      <w:numFmt w:val="bullet"/>
      <w:lvlText w:val="●"/>
      <w:lvlJc w:val="left"/>
      <w:pPr>
        <w:ind w:left="720" w:hanging="360"/>
      </w:pPr>
    </w:lvl>
    <w:lvl w:ilvl="1" w:tplc="EA7880AA">
      <w:start w:val="1"/>
      <w:numFmt w:val="bullet"/>
      <w:lvlText w:val="○"/>
      <w:lvlJc w:val="left"/>
      <w:pPr>
        <w:ind w:left="1440" w:hanging="360"/>
      </w:pPr>
    </w:lvl>
    <w:lvl w:ilvl="2" w:tplc="89D6698C">
      <w:start w:val="1"/>
      <w:numFmt w:val="bullet"/>
      <w:lvlText w:val="■"/>
      <w:lvlJc w:val="left"/>
      <w:pPr>
        <w:ind w:left="2160" w:hanging="360"/>
      </w:pPr>
    </w:lvl>
    <w:lvl w:ilvl="3" w:tplc="B5089860">
      <w:start w:val="1"/>
      <w:numFmt w:val="bullet"/>
      <w:lvlText w:val="●"/>
      <w:lvlJc w:val="left"/>
      <w:pPr>
        <w:ind w:left="2880" w:hanging="360"/>
      </w:pPr>
    </w:lvl>
    <w:lvl w:ilvl="4" w:tplc="3056BF90">
      <w:start w:val="1"/>
      <w:numFmt w:val="bullet"/>
      <w:lvlText w:val="○"/>
      <w:lvlJc w:val="left"/>
      <w:pPr>
        <w:ind w:left="3600" w:hanging="360"/>
      </w:pPr>
    </w:lvl>
    <w:lvl w:ilvl="5" w:tplc="986017E0">
      <w:start w:val="1"/>
      <w:numFmt w:val="bullet"/>
      <w:lvlText w:val="■"/>
      <w:lvlJc w:val="left"/>
      <w:pPr>
        <w:ind w:left="4320" w:hanging="360"/>
      </w:pPr>
    </w:lvl>
    <w:lvl w:ilvl="6" w:tplc="55923F8E">
      <w:start w:val="1"/>
      <w:numFmt w:val="bullet"/>
      <w:lvlText w:val="●"/>
      <w:lvlJc w:val="left"/>
      <w:pPr>
        <w:ind w:left="5040" w:hanging="360"/>
      </w:pPr>
    </w:lvl>
    <w:lvl w:ilvl="7" w:tplc="AD2AB5F8">
      <w:start w:val="1"/>
      <w:numFmt w:val="bullet"/>
      <w:lvlText w:val="●"/>
      <w:lvlJc w:val="left"/>
      <w:pPr>
        <w:ind w:left="5760" w:hanging="360"/>
      </w:pPr>
    </w:lvl>
    <w:lvl w:ilvl="8" w:tplc="96DC1146">
      <w:start w:val="1"/>
      <w:numFmt w:val="bullet"/>
      <w:lvlText w:val="●"/>
      <w:lvlJc w:val="left"/>
      <w:pPr>
        <w:ind w:left="6480" w:hanging="360"/>
      </w:pPr>
    </w:lvl>
  </w:abstractNum>
  <w:num w:numId="1" w16cid:durableId="6895331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5D4"/>
    <w:rsid w:val="000E10F3"/>
    <w:rsid w:val="00254C38"/>
    <w:rsid w:val="00385B4D"/>
    <w:rsid w:val="003D28CA"/>
    <w:rsid w:val="00660174"/>
    <w:rsid w:val="00B619AE"/>
    <w:rsid w:val="00FD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F28B"/>
  <w15:docId w15:val="{311FFC3B-3943-47D4-9C60-BB76AC6D6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1607</Words>
  <Characters>9161</Characters>
  <Application>Microsoft Office Word</Application>
  <DocSecurity>0</DocSecurity>
  <Lines>76</Lines>
  <Paragraphs>21</Paragraphs>
  <ScaleCrop>false</ScaleCrop>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Essay: Care Close to Home</dc:title>
  <dc:creator>Dorcina Noel</dc:creator>
  <cp:lastModifiedBy>Ulric Aird</cp:lastModifiedBy>
  <cp:revision>3</cp:revision>
  <dcterms:created xsi:type="dcterms:W3CDTF">2026-10-12T13:55:00Z</dcterms:created>
  <dcterms:modified xsi:type="dcterms:W3CDTF">2026-10-12T17:13:00Z</dcterms:modified>
</cp:coreProperties>
</file>