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C5CAB"/>
          <w:sz w:val="34"/>
          <w:szCs w:val="34"/>
        </w:rPr>
        <w:t xml:space="preserve">Қалқан — щит от телефонного мошенничества</w:t>
      </w:r>
    </w:p>
    <w:p>
      <w:pPr>
        <w:pBdr>
          <w:bottom w:val="single" w:color="C9C8C2" w:sz="6" w:space="4"/>
        </w:pBdr>
        <w:spacing w:after="90"/>
      </w:pPr>
      <w:r>
        <w:rPr>
          <w:rFonts w:ascii="Calibri" w:cs="Calibri" w:eastAsia="Calibri" w:hAnsi="Calibri"/>
          <w:color w:val="52514E"/>
          <w:sz w:val="20"/>
          <w:szCs w:val="20"/>
        </w:rPr>
        <w:t xml:space="preserve">Детектор, который предупреждает во время звонка — до того, как человек продиктует код. Казахский, русский и смешанная речь. Трек AI for Finance.</w:t>
      </w:r>
    </w:p>
    <w:p>
      <w:pPr>
        <w:spacing w:after="30" w:before="90"/>
      </w:pPr>
      <w:r>
        <w:rPr>
          <w:rFonts w:ascii="Calibri" w:cs="Calibri" w:eastAsia="Calibri" w:hAnsi="Calibri"/>
          <w:b/>
          <w:bCs/>
          <w:color w:val="1C5CAB"/>
          <w:sz w:val="20"/>
          <w:szCs w:val="20"/>
        </w:rPr>
        <w:t xml:space="preserve">ПРОБЛЕМА</w:t>
      </w:r>
    </w:p>
    <w:p>
      <w:pPr>
        <w:spacing w:after="40" w:line="252"/>
      </w:pPr>
      <w:r>
        <w:rPr>
          <w:rFonts w:ascii="Calibri" w:cs="Calibri" w:eastAsia="Calibri" w:hAnsi="Calibri"/>
          <w:color w:val="0B0B0B"/>
          <w:sz w:val="21"/>
          <w:szCs w:val="21"/>
        </w:rPr>
        <w:t xml:space="preserve">По данным Антифрод-центра Национального Банка РК (на 01.01.2026) — </w:t>
      </w:r>
      <w:r>
        <w:rPr>
          <w:rFonts w:ascii="Calibri" w:cs="Calibri" w:eastAsia="Calibri" w:hAnsi="Calibri"/>
          <w:b/>
          <w:bCs/>
          <w:color w:val="0B0B0B"/>
          <w:sz w:val="21"/>
          <w:szCs w:val="21"/>
        </w:rPr>
        <w:t xml:space="preserve">80 871 инцидент</w:t>
      </w:r>
      <w:r>
        <w:rPr>
          <w:rFonts w:ascii="Calibri" w:cs="Calibri" w:eastAsia="Calibri" w:hAnsi="Calibri"/>
          <w:color w:val="0B0B0B"/>
          <w:sz w:val="21"/>
          <w:szCs w:val="21"/>
        </w:rPr>
        <w:t xml:space="preserve"> с признаками мошенничества, из них </w:t>
      </w:r>
      <w:r>
        <w:rPr>
          <w:rFonts w:ascii="Calibri" w:cs="Calibri" w:eastAsia="Calibri" w:hAnsi="Calibri"/>
          <w:b/>
          <w:bCs/>
          <w:color w:val="0B0B0B"/>
          <w:sz w:val="21"/>
          <w:szCs w:val="21"/>
        </w:rPr>
        <w:t xml:space="preserve">22% — телефонное мошенничество</w:t>
      </w:r>
      <w:r>
        <w:rPr>
          <w:rFonts w:ascii="Calibri" w:cs="Calibri" w:eastAsia="Calibri" w:hAnsi="Calibri"/>
          <w:color w:val="0B0B0B"/>
          <w:sz w:val="21"/>
          <w:szCs w:val="21"/>
        </w:rPr>
        <w:t xml:space="preserve">, 19% — фейковые инвестиции. Действующий контур </w:t>
      </w:r>
      <w:r>
        <w:rPr>
          <w:rFonts w:ascii="Calibri" w:cs="Calibri" w:eastAsia="Calibri" w:hAnsi="Calibri"/>
          <w:b/>
          <w:bCs/>
          <w:color w:val="0B0B0B"/>
          <w:sz w:val="21"/>
          <w:szCs w:val="21"/>
        </w:rPr>
        <w:t xml:space="preserve">реактивный</w:t>
      </w:r>
      <w:r>
        <w:rPr>
          <w:rFonts w:ascii="Calibri" w:cs="Calibri" w:eastAsia="Calibri" w:hAnsi="Calibri"/>
          <w:color w:val="0B0B0B"/>
          <w:sz w:val="21"/>
          <w:szCs w:val="21"/>
        </w:rPr>
        <w:t xml:space="preserve">: инцидент разбирают после того, как человек уже продиктовал код из SMS, перевёл деньги на «безопасный счёт» или установил программу удалённого доступа. Схемы обновляются ежемесячно (2026: SMS-бомбинг + «Антиспам», «курьер» с кодом, «номер медицинской декларации», вербовка дропперов, клонирование голоса), а правила на ключевых словах за ними не успевают.</w:t>
      </w:r>
    </w:p>
    <w:p>
      <w:pPr>
        <w:spacing w:after="30" w:before="90"/>
      </w:pPr>
      <w:r>
        <w:rPr>
          <w:rFonts w:ascii="Calibri" w:cs="Calibri" w:eastAsia="Calibri" w:hAnsi="Calibri"/>
          <w:b/>
          <w:bCs/>
          <w:color w:val="1C5CAB"/>
          <w:sz w:val="20"/>
          <w:szCs w:val="20"/>
        </w:rPr>
        <w:t xml:space="preserve">ЦЕЛЕВАЯ АУДИТОРИЯ</w:t>
      </w:r>
    </w:p>
    <w:p>
      <w:pPr>
        <w:spacing w:after="40" w:line="252"/>
      </w:pPr>
      <w:r>
        <w:rPr>
          <w:rFonts w:ascii="Calibri" w:cs="Calibri" w:eastAsia="Calibri" w:hAnsi="Calibri"/>
          <w:color w:val="0B0B0B"/>
          <w:sz w:val="21"/>
          <w:szCs w:val="21"/>
        </w:rPr>
        <w:t xml:space="preserve">Банки РК (антифрод-подразделения) и операторы связи — как заказчики; Антифрод-центр НБ РК и АБРК — как координаторы обмена моделью; клиенты банков, особенно пожилые и казахоязычные, — как те, кого система защищает во время звонка.</w:t>
      </w:r>
    </w:p>
    <w:p>
      <w:pPr>
        <w:spacing w:after="30" w:before="90"/>
      </w:pPr>
      <w:r>
        <w:rPr>
          <w:rFonts w:ascii="Calibri" w:cs="Calibri" w:eastAsia="Calibri" w:hAnsi="Calibri"/>
          <w:b/>
          <w:bCs/>
          <w:color w:val="1C5CAB"/>
          <w:sz w:val="20"/>
          <w:szCs w:val="20"/>
        </w:rPr>
        <w:t xml:space="preserve">РЕШЕНИЕ</w:t>
      </w:r>
    </w:p>
    <w:p>
      <w:pPr>
        <w:pStyle w:val="ListParagraph"/>
        <w:numPr>
          <w:ilvl w:val="0"/>
          <w:numId w:val="2"/>
        </w:numPr>
        <w:spacing w:after="20" w:line="247"/>
      </w:pPr>
      <w:r>
        <w:rPr>
          <w:rFonts w:ascii="Calibri" w:cs="Calibri" w:eastAsia="Calibri" w:hAnsi="Calibri"/>
          <w:b/>
          <w:bCs/>
          <w:color w:val="0B0B0B"/>
          <w:sz w:val="21"/>
          <w:szCs w:val="21"/>
        </w:rPr>
        <w:t xml:space="preserve">Инкрементальная детекция. </w:t>
      </w:r>
      <w:r>
        <w:rPr>
          <w:rFonts w:ascii="Calibri" w:cs="Calibri" w:eastAsia="Calibri" w:hAnsi="Calibri"/>
          <w:color w:val="0B0B0B"/>
          <w:sz w:val="21"/>
          <w:szCs w:val="21"/>
        </w:rPr>
        <w:t xml:space="preserve">Речь переводится в текст (ASR), и после каждой реплики модель XLM-RoBERTa + LoRA оценивает риск по всему разговору. Тревога звучит на стадии давления — до запроса кода, перевода или установки программы.</w:t>
      </w:r>
    </w:p>
    <w:p>
      <w:pPr>
        <w:pStyle w:val="ListParagraph"/>
        <w:numPr>
          <w:ilvl w:val="0"/>
          <w:numId w:val="2"/>
        </w:numPr>
        <w:spacing w:after="20" w:line="247"/>
      </w:pPr>
      <w:r>
        <w:rPr>
          <w:rFonts w:ascii="Calibri" w:cs="Calibri" w:eastAsia="Calibri" w:hAnsi="Calibri"/>
          <w:b/>
          <w:bCs/>
          <w:color w:val="0B0B0B"/>
          <w:sz w:val="21"/>
          <w:szCs w:val="21"/>
        </w:rPr>
        <w:t xml:space="preserve">Объяснимость. </w:t>
      </w:r>
      <w:r>
        <w:rPr>
          <w:rFonts w:ascii="Calibri" w:cs="Calibri" w:eastAsia="Calibri" w:hAnsi="Calibri"/>
          <w:color w:val="0B0B0B"/>
          <w:sz w:val="21"/>
          <w:szCs w:val="21"/>
        </w:rPr>
        <w:t xml:space="preserve">Рядом с риском — понятная причина: «требуют не класть трубку», «просят код из SMS» (23 красных флага таксономии).</w:t>
      </w:r>
    </w:p>
    <w:p>
      <w:pPr>
        <w:pStyle w:val="ListParagraph"/>
        <w:numPr>
          <w:ilvl w:val="0"/>
          <w:numId w:val="2"/>
        </w:numPr>
        <w:spacing w:after="20" w:line="247"/>
      </w:pPr>
      <w:r>
        <w:rPr>
          <w:rFonts w:ascii="Calibri" w:cs="Calibri" w:eastAsia="Calibri" w:hAnsi="Calibri"/>
          <w:b/>
          <w:bCs/>
          <w:color w:val="0B0B0B"/>
          <w:sz w:val="21"/>
          <w:szCs w:val="21"/>
        </w:rPr>
        <w:t xml:space="preserve">Данные без персональных данных. </w:t>
      </w:r>
      <w:r>
        <w:rPr>
          <w:rFonts w:ascii="Calibri" w:cs="Calibri" w:eastAsia="Calibri" w:hAnsi="Calibri"/>
          <w:color w:val="0B0B0B"/>
          <w:sz w:val="21"/>
          <w:szCs w:val="21"/>
        </w:rPr>
        <w:t xml:space="preserve">Открытый синтетический корпус: 22 сценария в 11 темах, каждый мошеннический сценарий привязан к публикации ведомства РК 2026 г. (НБ РК, Генпрокуратура, МВД, ЕНПФ, Минздрав, АФМ).</w:t>
      </w:r>
    </w:p>
    <w:p>
      <w:pPr>
        <w:pStyle w:val="ListParagraph"/>
        <w:numPr>
          <w:ilvl w:val="0"/>
          <w:numId w:val="2"/>
        </w:numPr>
        <w:spacing w:after="20" w:line="247"/>
      </w:pPr>
      <w:r>
        <w:rPr>
          <w:rFonts w:ascii="Calibri" w:cs="Calibri" w:eastAsia="Calibri" w:hAnsi="Calibri"/>
          <w:b/>
          <w:bCs/>
          <w:color w:val="0B0B0B"/>
          <w:sz w:val="21"/>
          <w:szCs w:val="21"/>
        </w:rPr>
        <w:t xml:space="preserve">Федеративное обучение. </w:t>
      </w:r>
      <w:r>
        <w:rPr>
          <w:rFonts w:ascii="Calibri" w:cs="Calibri" w:eastAsia="Calibri" w:hAnsi="Calibri"/>
          <w:color w:val="0B0B0B"/>
          <w:sz w:val="21"/>
          <w:szCs w:val="21"/>
        </w:rPr>
        <w:t xml:space="preserve">Банки обучают общую модель, не передавая записи разговоров: обмен — только весами LoRA (≈6 МБ за раунд).</w:t>
      </w:r>
    </w:p>
    <w:p>
      <w:pPr>
        <w:spacing w:after="30" w:before="90"/>
      </w:pPr>
      <w:r>
        <w:rPr>
          <w:rFonts w:ascii="Calibri" w:cs="Calibri" w:eastAsia="Calibri" w:hAnsi="Calibri"/>
          <w:b/>
          <w:bCs/>
          <w:color w:val="1C5CAB"/>
          <w:sz w:val="20"/>
          <w:szCs w:val="20"/>
        </w:rPr>
        <w:t xml:space="preserve">ЦЕННОСТЬ — ИЗМЕРЕНО</w:t>
      </w:r>
    </w:p>
    <w:tbl>
      <w:tblPr>
        <w:tblW w:type="dxa" w:w="10206"/>
        <w:tblBorders>
          <w:top w:val="single" w:color="C9C8C2" w:sz="4"/>
          <w:left w:val="single" w:color="C9C8C2" w:sz="4"/>
          <w:bottom w:val="single" w:color="C9C8C2" w:sz="4"/>
          <w:right w:val="single" w:color="C9C8C2" w:sz="4"/>
          <w:insideH w:val="single" w:color="C9C8C2" w:sz="4"/>
          <w:insideV w:val="single" w:color="C9C8C2" w:sz="4"/>
        </w:tblBorders>
      </w:tblPr>
      <w:tblGrid>
        <w:gridCol w:w="5307"/>
        <w:gridCol w:w="2449"/>
        <w:gridCol w:w="2450"/>
      </w:tblGrid>
      <w:tr>
        <w:trPr>
          <w:tblHeader/>
        </w:trPr>
        <w:tc>
          <w:tcPr>
            <w:tcW w:type="dxa" w:w="5307"/>
            <w:shd w:fill="EEF4FC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B0B0B"/>
                <w:sz w:val="19"/>
                <w:szCs w:val="19"/>
              </w:rPr>
              <w:t xml:space="preserve">Показатель</w:t>
            </w:r>
          </w:p>
        </w:tc>
        <w:tc>
          <w:tcPr>
            <w:tcW w:type="dxa" w:w="2449"/>
            <w:shd w:fill="EEF4FC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0B0B"/>
                <w:sz w:val="19"/>
                <w:szCs w:val="19"/>
              </w:rPr>
              <w:t xml:space="preserve">Қалқан</w:t>
            </w:r>
          </w:p>
        </w:tc>
        <w:tc>
          <w:tcPr>
            <w:tcW w:type="dxa" w:w="2450"/>
            <w:shd w:fill="EEF4FC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0B0B"/>
                <w:sz w:val="19"/>
                <w:szCs w:val="19"/>
              </w:rPr>
              <w:t xml:space="preserve">Сравнение</w:t>
            </w:r>
          </w:p>
        </w:tc>
      </w:tr>
      <w:tr>
        <w:tc>
          <w:tcPr>
            <w:tcW w:type="dxa" w:w="5307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9"/>
                <w:szCs w:val="19"/>
              </w:rPr>
              <w:t xml:space="preserve">Реальные звонки (вишинг; скам против звонков в банк; перевод на казахский), ROC AUC</w:t>
            </w:r>
          </w:p>
        </w:tc>
        <w:tc>
          <w:tcPr>
            <w:tcW w:type="dxa" w:w="2449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5CAB"/>
                <w:sz w:val="19"/>
                <w:szCs w:val="19"/>
              </w:rPr>
              <w:t xml:space="preserve">0.71–0.75</w:t>
            </w:r>
          </w:p>
        </w:tc>
        <w:tc>
          <w:tcPr>
            <w:tcW w:type="dxa" w:w="245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9"/>
                <w:szCs w:val="19"/>
              </w:rPr>
              <w:t xml:space="preserve">0.50 — правила</w:t>
            </w:r>
          </w:p>
        </w:tc>
      </w:tr>
      <w:tr>
        <w:tc>
          <w:tcPr>
            <w:tcW w:type="dxa" w:w="5307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9"/>
                <w:szCs w:val="19"/>
              </w:rPr>
              <w:t xml:space="preserve">Тревога ДО целевого действия (при равном FPR 10–23%)</w:t>
            </w:r>
          </w:p>
        </w:tc>
        <w:tc>
          <w:tcPr>
            <w:tcW w:type="dxa" w:w="2449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5CAB"/>
                <w:sz w:val="19"/>
                <w:szCs w:val="19"/>
              </w:rPr>
              <w:t xml:space="preserve">91–94%</w:t>
            </w:r>
          </w:p>
        </w:tc>
        <w:tc>
          <w:tcPr>
            <w:tcW w:type="dxa" w:w="245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9"/>
                <w:szCs w:val="19"/>
              </w:rPr>
              <w:t xml:space="preserve">37–58% — правила</w:t>
            </w:r>
          </w:p>
        </w:tc>
      </w:tr>
      <w:tr>
        <w:tc>
          <w:tcPr>
            <w:tcW w:type="dxa" w:w="5307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9"/>
                <w:szCs w:val="19"/>
              </w:rPr>
              <w:t xml:space="preserve">Каждый банк видел не все схемы: общая модель (FedAvg), val AUC</w:t>
            </w:r>
          </w:p>
        </w:tc>
        <w:tc>
          <w:tcPr>
            <w:tcW w:type="dxa" w:w="2449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5CAB"/>
                <w:sz w:val="19"/>
                <w:szCs w:val="19"/>
              </w:rPr>
              <w:t xml:space="preserve">0.839</w:t>
            </w:r>
          </w:p>
        </w:tc>
        <w:tc>
          <w:tcPr>
            <w:tcW w:type="dxa" w:w="245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9"/>
                <w:szCs w:val="19"/>
              </w:rPr>
              <w:t xml:space="preserve">0.56–0.79 — банк в одиночку</w:t>
            </w:r>
          </w:p>
        </w:tc>
      </w:tr>
    </w:tbl>
    <w:p>
      <w:pPr>
        <w:spacing w:after="20" w:line="252"/>
      </w:pPr>
      <w:r>
        <w:rPr>
          <w:rFonts w:ascii="Calibri" w:cs="Calibri" w:eastAsia="Calibri" w:hAnsi="Calibri"/>
          <w:b/>
          <w:bCs/>
          <w:color w:val="0B0B0B"/>
          <w:sz w:val="21"/>
          <w:szCs w:val="21"/>
        </w:rPr>
        <w:t xml:space="preserve">Честно: </w:t>
      </w:r>
      <w:r>
        <w:rPr>
          <w:rFonts w:ascii="Calibri" w:cs="Calibri" w:eastAsia="Calibri" w:hAnsi="Calibri"/>
          <w:color w:val="0B0B0B"/>
          <w:sz w:val="21"/>
          <w:szCs w:val="21"/>
        </w:rPr>
        <w:t xml:space="preserve">на самом трудном наборе — легитимный звонок на ту же тему, что и мошеннический, — AUC пока 0.60; это главное направление доработки (расширение фразобанка).</w:t>
      </w:r>
    </w:p>
    <w:p>
      <w:pPr>
        <w:spacing w:after="20" w:line="252"/>
      </w:pPr>
      <w:r>
        <w:rPr>
          <w:rFonts w:ascii="Calibri" w:cs="Calibri" w:eastAsia="Calibri" w:hAnsi="Calibri"/>
          <w:b/>
          <w:bCs/>
          <w:color w:val="0B0B0B"/>
          <w:sz w:val="21"/>
          <w:szCs w:val="21"/>
        </w:rPr>
        <w:t xml:space="preserve">Главный эффект: </w:t>
      </w:r>
      <w:r>
        <w:rPr>
          <w:rFonts w:ascii="Calibri" w:cs="Calibri" w:eastAsia="Calibri" w:hAnsi="Calibri"/>
          <w:color w:val="0B0B0B"/>
          <w:sz w:val="21"/>
          <w:szCs w:val="21"/>
        </w:rPr>
        <w:t xml:space="preserve">предупреждение успевает прозвучать, пока деньги ещё у клиента. Каждый предотвращённый инцидент — это не возврат через Антифрод-центр, а отсутствие ущерба.</w:t>
      </w:r>
    </w:p>
    <w:p>
      <w:pPr>
        <w:spacing w:after="30" w:before="90"/>
      </w:pPr>
      <w:r>
        <w:rPr>
          <w:rFonts w:ascii="Calibri" w:cs="Calibri" w:eastAsia="Calibri" w:hAnsi="Calibri"/>
          <w:b/>
          <w:bCs/>
          <w:color w:val="1C5CAB"/>
          <w:sz w:val="20"/>
          <w:szCs w:val="20"/>
        </w:rPr>
        <w:t xml:space="preserve">НОВИЗНА</w:t>
      </w:r>
    </w:p>
    <w:p>
      <w:pPr>
        <w:spacing w:after="40" w:line="252"/>
      </w:pPr>
      <w:r>
        <w:rPr>
          <w:rFonts w:ascii="Calibri" w:cs="Calibri" w:eastAsia="Calibri" w:hAnsi="Calibri"/>
          <w:color w:val="0B0B0B"/>
          <w:sz w:val="21"/>
          <w:szCs w:val="21"/>
        </w:rPr>
        <w:t xml:space="preserve">По нашим данным, первый в Казахстане разговорный детектор мошенничества с </w:t>
      </w:r>
      <w:r>
        <w:rPr>
          <w:rFonts w:ascii="Calibri" w:cs="Calibri" w:eastAsia="Calibri" w:hAnsi="Calibri"/>
          <w:b/>
          <w:bCs/>
          <w:color w:val="0B0B0B"/>
          <w:sz w:val="21"/>
          <w:szCs w:val="21"/>
        </w:rPr>
        <w:t xml:space="preserve">ранним предупреждением на казахском</w:t>
      </w:r>
      <w:r>
        <w:rPr>
          <w:rFonts w:ascii="Calibri" w:cs="Calibri" w:eastAsia="Calibri" w:hAnsi="Calibri"/>
          <w:color w:val="0B0B0B"/>
          <w:sz w:val="21"/>
          <w:szCs w:val="21"/>
        </w:rPr>
        <w:t xml:space="preserve"> и смешанной речи; открытый корпус с метрикой «тревога до целевого действия»; метод поиска артефакта «тема звонка выдаёт класс» в синтетических данных (найден и устранён в ходе работы); федеративная схема с LoRA для банков РК. Готовность — TRL 4 (прототип проверен на синтетике и на реальных публичных записях); следующий шаг — пилот с банком на обезличенных звонках колл-центра.</w:t>
      </w:r>
    </w:p>
    <w:p>
      <w:pPr>
        <w:pBdr>
          <w:top w:val="single" w:color="C9C8C2" w:sz="6" w:space="4"/>
        </w:pBdr>
        <w:spacing w:before="90"/>
      </w:pPr>
      <w:r>
        <w:rPr>
          <w:rFonts w:ascii="Calibri" w:cs="Calibri" w:eastAsia="Calibri" w:hAnsi="Calibri"/>
          <w:color w:val="52514E"/>
          <w:sz w:val="17"/>
          <w:szCs w:val="17"/>
        </w:rPr>
        <w:t xml:space="preserve">Автор: [ФИО], [курс, образовательная программа], SDU University · Репозиторий: github.com/daurenoralbek/qalqan</w:t>
      </w:r>
    </w:p>
    <w:sectPr>
      <w:pgSz w:w="11906" w:h="16838" w:orient="portrait"/>
      <w:pgMar w:top="720" w:right="850" w:bottom="64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Қалқан — щит от телефонного мошенничества</dc:title>
  <dc:creator>Qalqan</dc:creator>
  <cp:lastModifiedBy>Un-named</cp:lastModifiedBy>
  <cp:revision>1</cp:revision>
  <dcterms:created xsi:type="dcterms:W3CDTF">2026-09-21T23:36:29.262Z</dcterms:created>
  <dcterms:modified xsi:type="dcterms:W3CDTF">2026-09-21T23:36:29.266Z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