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C5CAB"/>
          <w:sz w:val="34"/>
          <w:szCs w:val="34"/>
        </w:rPr>
        <w:t xml:space="preserve">Қалқан — щит от телефонного мошенничества</w:t>
      </w:r>
    </w:p>
    <w:p>
      <w:pPr>
        <w:pBdr>
          <w:bottom w:val="single" w:color="C9C8C2" w:sz="6" w:space="4"/>
        </w:pBdr>
        <w:spacing w:after="9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Детектор, который предупреждает во время звонка — до того, как человек продиктует код. Казахский, русский и смешанная речь. Трек AI for Finance.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ПРОБЛЕМА</w:t>
      </w:r>
    </w:p>
    <w:p>
      <w:pPr>
        <w:spacing w:after="40" w:line="252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По данным Антифрод-центра Национального Банка РК (на 01.01.2026) —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80 871 инцидент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с признаками мошенничества, из них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22% — телефонное мошенничество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19% — фейковые инвестиции. Действующий контур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реактивный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: инцидент разбирают после того, как человек уже продиктовал код из SMS, перевёл деньги на «безопасный счёт» или установил программу удалённого доступа. Схемы обновляются ежемесячно (2026: SMS-бомбинг + «Антиспам», «курьер» с кодом, «номер медицинской декларации», вербовка дропперов, клонирование голоса), а правила на ключевых словах за ними не успевают.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ЦЕЛЕВАЯ АУДИТОРИЯ</w:t>
      </w:r>
    </w:p>
    <w:p>
      <w:pPr>
        <w:spacing w:after="40" w:line="252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Банки РК (антифрод-подразделения) и операторы связи — как заказчики; Антифрод-центр НБ РК и АБРК — как координаторы обмена моделью; клиенты банков, особенно пожилые и казахоязычные, — как те, кого система защищает во время звонка.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РЕШЕНИЕ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Инкрементальная детекция.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Речь переводится в текст (ASR), и после каждой реплики модель XLM-RoBERTa + LoRA оценивает риск по всему разговору. Тревога звучит на стадии давления — до запроса кода, перевода или установки программы.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Объяснимость.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Рядом с риском — понятная причина: «требуют не класть трубку», «просят код из SMS» (23 красных флага таксономии).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Данные без персональных данных.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Открытый синтетический корпус: 22 сценария в 11 темах, каждый мошеннический сценарий привязан к публикации ведомства РК 2026 г. (НБ РК, Генпрокуратура, МВД, ЕНПФ, Минздрав, АФМ).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Федеративное обучение.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Банки обучают общую модель, не передавая записи разговоров: обмен — только весами LoRA (≈6 МБ за раунд).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ЦЕННОСТЬ — ИЗМЕРЕНО</w:t>
      </w:r>
    </w:p>
    <w:tbl>
      <w:tblPr>
        <w:tblW w:type="dxa" w:w="10206"/>
        <w:tblBorders>
          <w:top w:val="single" w:color="C9C8C2" w:sz="4"/>
          <w:left w:val="single" w:color="C9C8C2" w:sz="4"/>
          <w:bottom w:val="single" w:color="C9C8C2" w:sz="4"/>
          <w:right w:val="single" w:color="C9C8C2" w:sz="4"/>
          <w:insideH w:val="single" w:color="C9C8C2" w:sz="4"/>
          <w:insideV w:val="single" w:color="C9C8C2" w:sz="4"/>
        </w:tblBorders>
      </w:tblPr>
      <w:tblGrid>
        <w:gridCol w:w="5307"/>
        <w:gridCol w:w="2449"/>
        <w:gridCol w:w="2450"/>
      </w:tblGrid>
      <w:tr>
        <w:trPr>
          <w:tblHeader/>
        </w:trPr>
        <w:tc>
          <w:tcPr>
            <w:tcW w:type="dxa" w:w="5307"/>
            <w:shd w:fill="EEF4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2449"/>
            <w:shd w:fill="EEF4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Қалқан</w:t>
            </w:r>
          </w:p>
        </w:tc>
        <w:tc>
          <w:tcPr>
            <w:tcW w:type="dxa" w:w="2450"/>
            <w:shd w:fill="EEF4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9"/>
                <w:szCs w:val="19"/>
              </w:rPr>
              <w:t xml:space="preserve">Сравнение</w:t>
            </w:r>
          </w:p>
        </w:tc>
      </w:tr>
      <w:tr>
        <w:tc>
          <w:tcPr>
            <w:tcW w:type="dxa" w:w="530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Реальные звонки (вишинг; скам против звонков в банк; перевод на казахский), ROC AUC</w:t>
            </w:r>
          </w:p>
        </w:tc>
        <w:tc>
          <w:tcPr>
            <w:tcW w:type="dxa" w:w="244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5CAB"/>
                <w:sz w:val="19"/>
                <w:szCs w:val="19"/>
              </w:rPr>
              <w:t xml:space="preserve">0.79–0.91</w:t>
            </w:r>
          </w:p>
        </w:tc>
        <w:tc>
          <w:tcPr>
            <w:tcW w:type="dxa" w:w="24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0.50 — правила</w:t>
            </w:r>
          </w:p>
        </w:tc>
      </w:tr>
      <w:tr>
        <w:tc>
          <w:tcPr>
            <w:tcW w:type="dxa" w:w="530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Тревога ДО целевого действия, отложенный тест</w:t>
            </w:r>
          </w:p>
        </w:tc>
        <w:tc>
          <w:tcPr>
            <w:tcW w:type="dxa" w:w="244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5CAB"/>
                <w:sz w:val="19"/>
                <w:szCs w:val="19"/>
              </w:rPr>
              <w:t xml:space="preserve">85%</w:t>
            </w:r>
          </w:p>
        </w:tc>
        <w:tc>
          <w:tcPr>
            <w:tcW w:type="dxa" w:w="24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36% — правила</w:t>
            </w:r>
          </w:p>
        </w:tc>
      </w:tr>
      <w:tr>
        <w:tc>
          <w:tcPr>
            <w:tcW w:type="dxa" w:w="530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Ложные тревоги при том же recall, что у правил</w:t>
            </w:r>
          </w:p>
        </w:tc>
        <w:tc>
          <w:tcPr>
            <w:tcW w:type="dxa" w:w="244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5CAB"/>
                <w:sz w:val="19"/>
                <w:szCs w:val="19"/>
              </w:rPr>
              <w:t xml:space="preserve">0.1%</w:t>
            </w:r>
          </w:p>
        </w:tc>
        <w:tc>
          <w:tcPr>
            <w:tcW w:type="dxa" w:w="24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43% — правила</w:t>
            </w:r>
          </w:p>
        </w:tc>
      </w:tr>
      <w:tr>
        <w:tc>
          <w:tcPr>
            <w:tcW w:type="dxa" w:w="530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Каждый банк видел не все схемы: общая модель (FedAvg), ROC AUC</w:t>
            </w:r>
          </w:p>
        </w:tc>
        <w:tc>
          <w:tcPr>
            <w:tcW w:type="dxa" w:w="244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5CAB"/>
                <w:sz w:val="19"/>
                <w:szCs w:val="19"/>
              </w:rPr>
              <w:t xml:space="preserve">0.756</w:t>
            </w:r>
          </w:p>
        </w:tc>
        <w:tc>
          <w:tcPr>
            <w:tcW w:type="dxa" w:w="24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0.59–0.71 — банк в одиночку</w:t>
            </w:r>
          </w:p>
        </w:tc>
      </w:tr>
      <w:tr>
        <w:tc>
          <w:tcPr>
            <w:tcW w:type="dxa" w:w="530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Живой звонок: от конца фразы до тревоги (процессор ноутбука)</w:t>
            </w:r>
          </w:p>
        </w:tc>
        <w:tc>
          <w:tcPr>
            <w:tcW w:type="dxa" w:w="244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5CAB"/>
                <w:sz w:val="19"/>
                <w:szCs w:val="19"/>
              </w:rPr>
              <w:t xml:space="preserve">3,3 с</w:t>
            </w:r>
          </w:p>
        </w:tc>
        <w:tc>
          <w:tcPr>
            <w:tcW w:type="dxa" w:w="24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" w:line="252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Честно: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на самом трудном наборе — легитимный звонок на ту же тему, что и мошеннический, — AUC пока 0.67; это главное направление доработки. Корпус переделывался трижды: каждый раз находился признак, по которому задачу можно решить, не поняв приёма манипуляции (тема звонка, повтор формулировок, вежливость).</w:t>
      </w:r>
    </w:p>
    <w:p>
      <w:pPr>
        <w:spacing w:after="20" w:line="252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Главный эффект: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предупреждение успевает прозвучать, пока деньги ещё у клиента. Каждый предотвращённый инцидент — это не возврат через Антифрод-центр, а отсутствие ущерба.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НОВИЗНА</w:t>
      </w:r>
    </w:p>
    <w:p>
      <w:pPr>
        <w:spacing w:after="40" w:line="252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По нашим данным, первый в Казахстане разговорный детектор мошенничества с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ранним предупреждением на казахском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и смешанной речи; открытый корпус с метрикой «тревога до целевого действия»; метод поиска артефактов синтетики — три найдены и устранены в ходе работы (тема звонка, повтор формулировок, вежливость); федеративная схема с LoRA для банков РК. Готовность — TRL 4 (прототип проверен на синтетике и на реальных публичных записях); следующий шаг — пилот с банком на обезличенных звонках колл-центра.</w:t>
      </w:r>
    </w:p>
    <w:p>
      <w:pPr>
        <w:pBdr>
          <w:top w:val="single" w:color="C9C8C2" w:sz="6" w:space="4"/>
        </w:pBdr>
        <w:spacing w:before="90"/>
      </w:pPr>
      <w:r>
        <w:rPr>
          <w:rFonts w:ascii="Calibri" w:cs="Calibri" w:eastAsia="Calibri" w:hAnsi="Calibri"/>
          <w:color w:val="52514E"/>
          <w:sz w:val="17"/>
          <w:szCs w:val="17"/>
        </w:rPr>
        <w:t xml:space="preserve">Автор: [ФИО], [курс, образовательная программа], SDU University · Репозиторий: github.com/daurenoralbek/qalqan</w:t>
      </w:r>
    </w:p>
    <w:sectPr>
      <w:pgSz w:w="11906" w:h="16838" w:orient="portrait"/>
      <w:pgMar w:top="720" w:right="850" w:bottom="64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Қалқан — щит от телефонного мошенничества</dc:title>
  <dc:creator>Qalqan</dc:creator>
  <cp:lastModifiedBy>Un-named</cp:lastModifiedBy>
  <cp:revision>1</cp:revision>
  <dcterms:created xsi:type="dcterms:W3CDTF">2026-09-23T09:13:32.251Z</dcterms:created>
  <dcterms:modified xsi:type="dcterms:W3CDTF">2026-09-23T09:13:32.256Z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