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03A1B">
      <w:pPr>
        <w:ind w:left="851" w:hanging="709"/>
        <w:jc w:val="center"/>
      </w:pPr>
      <w:bookmarkStart w:id="0" w:name="_GoBack"/>
      <w:bookmarkEnd w:id="0"/>
      <w:r>
        <w:rPr>
          <w:rStyle w:val="s1"/>
          <w:color w:val="auto"/>
        </w:rPr>
        <w:t>Международный стандарт финансовой отчетности (IFRS) 14</w:t>
      </w:r>
      <w:r>
        <w:rPr>
          <w:rStyle w:val="s1"/>
          <w:color w:val="auto"/>
        </w:rPr>
        <w:br/>
        <w:t>«Счета отложенных тарифных разниц»</w:t>
      </w:r>
    </w:p>
    <w:p w:rsidR="00000000" w:rsidRDefault="00203A1B">
      <w:pPr>
        <w:autoSpaceDE w:val="0"/>
        <w:autoSpaceDN w:val="0"/>
        <w:ind w:left="851" w:hanging="709"/>
        <w:jc w:val="both"/>
      </w:pPr>
      <w:r>
        <w:rPr>
          <w:color w:val="auto"/>
        </w:rPr>
        <w:t> 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Цель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1           Цель настоящего стандарта заключается в установлении требований к представлению в финансовой отчетности </w:t>
      </w:r>
      <w:r>
        <w:rPr>
          <w:i/>
          <w:iCs/>
          <w:sz w:val="24"/>
          <w:szCs w:val="24"/>
        </w:rPr>
        <w:t>остатков по счету отложенных тарифных разниц</w:t>
      </w:r>
      <w:r>
        <w:rPr>
          <w:sz w:val="24"/>
          <w:szCs w:val="24"/>
        </w:rPr>
        <w:t xml:space="preserve">, возникающих при предоставлении организацией клиентам товаров или услуг по ценам или тарифам, являющимся предметом </w:t>
      </w:r>
      <w:r>
        <w:rPr>
          <w:i/>
          <w:iCs/>
          <w:sz w:val="24"/>
          <w:szCs w:val="24"/>
        </w:rPr>
        <w:t>тарифного регулирования</w:t>
      </w:r>
      <w:r>
        <w:rPr>
          <w:sz w:val="24"/>
          <w:szCs w:val="24"/>
        </w:rPr>
        <w:t>.</w:t>
      </w:r>
    </w:p>
    <w:p w:rsidR="00000000" w:rsidRDefault="00203A1B">
      <w:pPr>
        <w:pStyle w:val="IASBNormalnpara"/>
      </w:pPr>
      <w:r>
        <w:rPr>
          <w:sz w:val="24"/>
          <w:szCs w:val="24"/>
        </w:rPr>
        <w:t>2           Для достижения этой цели стандарт требует: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внес</w:t>
      </w:r>
      <w:r>
        <w:rPr>
          <w:sz w:val="24"/>
          <w:szCs w:val="24"/>
        </w:rPr>
        <w:t>ения ограниченных изменений, относящихся к учетной политике, использовавшейся в соответствии с ранее применявшимися общепринятыми принципами бухгалтерского учета (</w:t>
      </w:r>
      <w:r>
        <w:rPr>
          <w:i/>
          <w:iCs/>
          <w:sz w:val="24"/>
          <w:szCs w:val="24"/>
        </w:rPr>
        <w:t>ранее применявшиеся ОПБУ</w:t>
      </w:r>
      <w:r>
        <w:rPr>
          <w:sz w:val="24"/>
          <w:szCs w:val="24"/>
        </w:rPr>
        <w:t>) в отношении остатков по счету отложенных тарифных разниц, которые о</w:t>
      </w:r>
      <w:r>
        <w:rPr>
          <w:sz w:val="24"/>
          <w:szCs w:val="24"/>
        </w:rPr>
        <w:t>тносятся, главным образом, к представлению таких счетов в отчетности; и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раскрытиям информации, которые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(i)          идентифицируют и объясняют признанные в финансовой отчетности организации суммы, возникающие вследствие тарифного регулирования;</w:t>
      </w:r>
      <w:r>
        <w:rPr>
          <w:sz w:val="24"/>
          <w:szCs w:val="24"/>
        </w:rPr>
        <w:t xml:space="preserve"> и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(ii)         помогают пользователям финансовой отчетности понять размер, сроки возникновения и неопределенность будущих денежных потоков, связанных с признанными остатками по счету отложенных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>3           Настоящий стандарт разрешает орг</w:t>
      </w:r>
      <w:r>
        <w:rPr>
          <w:sz w:val="24"/>
          <w:szCs w:val="24"/>
        </w:rPr>
        <w:t xml:space="preserve">анизации, относящейся к сфере его применения, при первом применении ею МСФО продолжить учет остатков по счету отложенных тарифных разниц в соответствии с учетной политикой, предусмотренной ранее применявшимися ОПБУ, при условии внесения в нее ограниченных </w:t>
      </w:r>
      <w:r>
        <w:rPr>
          <w:sz w:val="24"/>
          <w:szCs w:val="24"/>
        </w:rPr>
        <w:t xml:space="preserve">изменений, указанных в пункте 2 выше.  </w:t>
      </w:r>
    </w:p>
    <w:p w:rsidR="00000000" w:rsidRDefault="00203A1B">
      <w:pPr>
        <w:pStyle w:val="IASBNormalnpara"/>
      </w:pPr>
      <w:r>
        <w:rPr>
          <w:sz w:val="24"/>
          <w:szCs w:val="24"/>
        </w:rPr>
        <w:t>4           Кроме того, настоящий стандарт предусматривает некоторые исключения из требований других стандартов или освобождения от соблюдения требований других стандартов МСФО. Все указанные требования в отношении о</w:t>
      </w:r>
      <w:r>
        <w:rPr>
          <w:sz w:val="24"/>
          <w:szCs w:val="24"/>
        </w:rPr>
        <w:t>статков по счету отложенных тарифных разниц, а также любые исключения из требований других стандартов или освобождения от соблюдения требований других стандартов МСФО, которые относятся к таким остаткам, приводятся в настоящем стандарте, а не в этих других</w:t>
      </w:r>
      <w:r>
        <w:rPr>
          <w:sz w:val="24"/>
          <w:szCs w:val="24"/>
        </w:rPr>
        <w:t xml:space="preserve"> стандартах МСФО.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Сфера применения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           </w:t>
      </w:r>
      <w:r>
        <w:rPr>
          <w:b/>
          <w:bCs/>
          <w:sz w:val="24"/>
          <w:szCs w:val="24"/>
        </w:rPr>
        <w:t xml:space="preserve">Организация вправе применять требования настоящего стандарта в своей </w:t>
      </w:r>
      <w:r>
        <w:rPr>
          <w:b/>
          <w:bCs/>
          <w:i/>
          <w:iCs/>
          <w:sz w:val="24"/>
          <w:szCs w:val="24"/>
        </w:rPr>
        <w:t>первой финансовой отчетности по МСФО</w:t>
      </w:r>
      <w:r>
        <w:rPr>
          <w:b/>
          <w:bCs/>
          <w:sz w:val="24"/>
          <w:szCs w:val="24"/>
        </w:rPr>
        <w:t>, если и только если она: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 xml:space="preserve">осуществляет </w:t>
      </w:r>
      <w:r>
        <w:rPr>
          <w:b/>
          <w:bCs/>
          <w:i/>
          <w:iCs/>
          <w:sz w:val="24"/>
          <w:szCs w:val="24"/>
        </w:rPr>
        <w:t>деятельность, подлежащую тарифному регулированию</w:t>
      </w:r>
      <w:r>
        <w:rPr>
          <w:b/>
          <w:bCs/>
          <w:sz w:val="24"/>
          <w:szCs w:val="24"/>
        </w:rPr>
        <w:t>; и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        </w:t>
      </w:r>
      <w:r>
        <w:rPr>
          <w:b/>
          <w:bCs/>
          <w:sz w:val="24"/>
          <w:szCs w:val="24"/>
        </w:rPr>
        <w:t>признавала суммы, которые в ее финансовой отчетности, подготовленной в соответствии с ранее применявшимися ОПБУ, квалифицируются в качестве остатков по счету отложенных тарифных разниц.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           </w:t>
      </w:r>
      <w:r>
        <w:rPr>
          <w:b/>
          <w:bCs/>
          <w:sz w:val="24"/>
          <w:szCs w:val="24"/>
        </w:rPr>
        <w:t>Организация должна применять требования настояще</w:t>
      </w:r>
      <w:r>
        <w:rPr>
          <w:b/>
          <w:bCs/>
          <w:sz w:val="24"/>
          <w:szCs w:val="24"/>
        </w:rPr>
        <w:t>го стандарта в своей финансовой отчетности за последующие периоды, если и только если в своей первой финансовой отчетности по МСФО она признала остатки по счету отложенных тарифных разниц, выбрав применение требований настоящего стандарта.</w:t>
      </w:r>
    </w:p>
    <w:p w:rsidR="00000000" w:rsidRDefault="00203A1B">
      <w:pPr>
        <w:pStyle w:val="IASBNormalnpara"/>
      </w:pPr>
      <w:r>
        <w:rPr>
          <w:sz w:val="24"/>
          <w:szCs w:val="24"/>
        </w:rPr>
        <w:t>7           В на</w:t>
      </w:r>
      <w:r>
        <w:rPr>
          <w:sz w:val="24"/>
          <w:szCs w:val="24"/>
        </w:rPr>
        <w:t>стоящем стандарте не рассматриваются прочие аспекты ведения бухгалтерского учета организациями, осуществляющими деятельность, подлежащую тарифному регулированию. При применении требований настоящего стандарта суммы, которые в соответствии с требованиями др</w:t>
      </w:r>
      <w:r>
        <w:rPr>
          <w:sz w:val="24"/>
          <w:szCs w:val="24"/>
        </w:rPr>
        <w:t>угих стандартов МСФО разрешается либо требуется признавать в качестве активов или обязательств, не должны включаться в состав сумм, классифицированных как остатки по счету отложенных тарифных разниц.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           </w:t>
      </w:r>
      <w:r>
        <w:rPr>
          <w:b/>
          <w:bCs/>
          <w:sz w:val="24"/>
          <w:szCs w:val="24"/>
        </w:rPr>
        <w:t xml:space="preserve">Организация, относящаяся к сфере применения </w:t>
      </w:r>
      <w:r>
        <w:rPr>
          <w:b/>
          <w:bCs/>
          <w:sz w:val="24"/>
          <w:szCs w:val="24"/>
        </w:rPr>
        <w:t>настоящего стандарта и принявшая решение о его применении, должна применять все его требования ко всем остаткам по счету отложенных тарифных разниц, которые возникают в результате осуществления данной организацией деятельности, подлежащей тарифному регулир</w:t>
      </w:r>
      <w:r>
        <w:rPr>
          <w:b/>
          <w:bCs/>
          <w:sz w:val="24"/>
          <w:szCs w:val="24"/>
        </w:rPr>
        <w:t>ованию.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Признание, оценка, обесценение и прекращение признания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 xml:space="preserve">Временное освобождение от соблюдения требований пункта 11 МСФО (IAS) 8 </w:t>
      </w:r>
      <w:r>
        <w:rPr>
          <w:rFonts w:ascii="Times New Roman" w:hAnsi="Times New Roman" w:cs="Times New Roman"/>
          <w:i/>
          <w:iCs/>
          <w:sz w:val="24"/>
          <w:szCs w:val="24"/>
        </w:rPr>
        <w:t>«Учетная политика, изменения в бухгалтерских оценках и ошибки»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           </w:t>
      </w:r>
      <w:r>
        <w:rPr>
          <w:b/>
          <w:bCs/>
          <w:sz w:val="24"/>
          <w:szCs w:val="24"/>
        </w:rPr>
        <w:t>При разработке своей учетной политики по призна</w:t>
      </w:r>
      <w:r>
        <w:rPr>
          <w:b/>
          <w:bCs/>
          <w:sz w:val="24"/>
          <w:szCs w:val="24"/>
        </w:rPr>
        <w:t>нию, оценке, обесценению и прекращению признания остатков по счету отложенных тарифных разниц организация, осуществляющая деятельность, подлежащую тарифному регулированию, а также относящаяся к сфере применения настоящего стандарта и принявшая решение о ег</w:t>
      </w:r>
      <w:r>
        <w:rPr>
          <w:b/>
          <w:bCs/>
          <w:sz w:val="24"/>
          <w:szCs w:val="24"/>
        </w:rPr>
        <w:t>о применении, должна применять пункты 10 и 12 МСФО (IAS) 8.</w:t>
      </w:r>
    </w:p>
    <w:p w:rsidR="00000000" w:rsidRDefault="00203A1B">
      <w:pPr>
        <w:pStyle w:val="IASBNormalnpara"/>
      </w:pPr>
      <w:r>
        <w:rPr>
          <w:sz w:val="24"/>
          <w:szCs w:val="24"/>
        </w:rPr>
        <w:t>10         В пунктах 11-12 МСФО (IAS) 8 приводятся источники требований и указаний, которые руководство обязано или вправе принимать во внимание при разработке учетной политики в отношении какой-л</w:t>
      </w:r>
      <w:r>
        <w:rPr>
          <w:sz w:val="24"/>
          <w:szCs w:val="24"/>
        </w:rPr>
        <w:t>ибо статьи, в отсутствие соответствующего стандарта МСФО, применимого непосредственно к данной статье. Настоящий стандарт освобождает организацию от применения пункта 11 МСФО (IAS) 8 в отношении ее учетной политики по признанию, оценке, обесценению и прекр</w:t>
      </w:r>
      <w:r>
        <w:rPr>
          <w:sz w:val="24"/>
          <w:szCs w:val="24"/>
        </w:rPr>
        <w:t xml:space="preserve">ащению признания остатков по счету отложенных тарифных разниц. Как следствие, посредством освобождения от применения требований пункта 11 МСФО (IAS) 8, организации, признающие в соответствии с ранее применявшимися ОПБУ остатки по счету отложенных тарифных </w:t>
      </w:r>
      <w:r>
        <w:rPr>
          <w:sz w:val="24"/>
          <w:szCs w:val="24"/>
        </w:rPr>
        <w:t>разниц либо в качестве отдельных статей, либо в качестве части балансовой стоимости других активов или обязательств, вправе продолжать признание этих остатков в соответствии с настоящим стандартом, при условии внесения изменений в представление информации,</w:t>
      </w:r>
      <w:r>
        <w:rPr>
          <w:sz w:val="24"/>
          <w:szCs w:val="24"/>
        </w:rPr>
        <w:t xml:space="preserve"> требуемых пунктами 18-19 настоящего стандарта.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Продолжение применения существующей учетной политики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11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При первоначальном применении настоящего стандарта организация должна продолжать применение учетной политики, предусмотренной ранее применявшими</w:t>
      </w:r>
      <w:r>
        <w:rPr>
          <w:b/>
          <w:bCs/>
          <w:sz w:val="24"/>
          <w:szCs w:val="24"/>
        </w:rPr>
        <w:t>ся ОПБУ в отношении признания, оценки, обесценения и прекращения признания остатков по счету отложенных тарифных разниц, за исключением любых изменений, допускаемых пунктами 13-15. Однако представление таких сумм должно соответствовать требованиям настояще</w:t>
      </w:r>
      <w:r>
        <w:rPr>
          <w:b/>
          <w:bCs/>
          <w:sz w:val="24"/>
          <w:szCs w:val="24"/>
        </w:rPr>
        <w:t xml:space="preserve">го стандарта к представлению информации, что может потребовать изменений в учетной политике организации относительно представления информации, предусмотренной ранее применявшимися ОПБУ (см. пункты 18-19). </w:t>
      </w:r>
    </w:p>
    <w:p w:rsidR="00000000" w:rsidRDefault="00203A1B">
      <w:pPr>
        <w:pStyle w:val="IASBNormalnpara"/>
      </w:pPr>
      <w:r>
        <w:rPr>
          <w:sz w:val="24"/>
          <w:szCs w:val="24"/>
        </w:rPr>
        <w:t>12         Организация должна последовательно прим</w:t>
      </w:r>
      <w:r>
        <w:rPr>
          <w:sz w:val="24"/>
          <w:szCs w:val="24"/>
        </w:rPr>
        <w:t>енять учетную политику, установленную в соответствии с пунктом 11, в последующих периодах, за исключением изменений, допускаемых пунктами 13-15.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Изменения в учетной политике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13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Организация не должна вносить изменения в свою учетную политику для того, чтобы начать признание остатков по счету отложенных тарифных разниц. Организация может изменить свою учетную политику в отношении признания, оценки, обесценения и прекращения признан</w:t>
      </w:r>
      <w:r>
        <w:rPr>
          <w:b/>
          <w:bCs/>
          <w:sz w:val="24"/>
          <w:szCs w:val="24"/>
        </w:rPr>
        <w:t>ия остатков по счету отложенных тарифных разниц только в том случае, если в результате данного изменения финансовая отчетность станет более уместной для принятия экономических решений ее пользователями и не менее надежной</w:t>
      </w:r>
      <w:bookmarkStart w:id="1" w:name="_ftnref1"/>
      <w:bookmarkEnd w:id="1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instrText>HYPERLINK "" \l "_ftn1" \o ""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Style w:val="a3"/>
          <w:color w:val="0000FF"/>
          <w:sz w:val="24"/>
          <w:szCs w:val="24"/>
          <w:u w:val="single"/>
        </w:rPr>
        <w:t>[</w:t>
      </w:r>
      <w:r>
        <w:rPr>
          <w:rStyle w:val="a3"/>
          <w:color w:val="0000FF"/>
          <w:sz w:val="24"/>
          <w:szCs w:val="24"/>
          <w:u w:val="single"/>
        </w:rPr>
        <w:t>1]</w:t>
      </w:r>
      <w:r>
        <w:rPr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, либо более надежной и не менее уместной для данных потребностей. Организация должна анализировать уместность и надежность, руководствуясь критериями, приведенными в пункте 10 МСФО (IAS) 8. </w:t>
      </w:r>
    </w:p>
    <w:p w:rsidR="00000000" w:rsidRDefault="00203A1B">
      <w:pPr>
        <w:pStyle w:val="IASBNormalnpara"/>
      </w:pPr>
      <w:r>
        <w:rPr>
          <w:sz w:val="24"/>
          <w:szCs w:val="24"/>
        </w:rPr>
        <w:t>14         Настоящий стандарт не освобождает организации от пр</w:t>
      </w:r>
      <w:r>
        <w:rPr>
          <w:sz w:val="24"/>
          <w:szCs w:val="24"/>
        </w:rPr>
        <w:t>именения пунктов 10 или 14-15 МСФО (IAS) 8 в отношении изменений в учетной политике. Чтобы обосновать изменение учетной политики в отношении остатков по счету отложенных тарифных разниц, организация должна показать, что это изменение обеспечивает более стр</w:t>
      </w:r>
      <w:r>
        <w:rPr>
          <w:sz w:val="24"/>
          <w:szCs w:val="24"/>
        </w:rPr>
        <w:t>огое соответствие финансовой отчетности критериям, указанным в пункте 10 МСФО (IAS) 8. Однако это изменение не обязано приводить к полному соответствию данным критериям в отношении признания, оценки, обесценения и прекращения признания остатков по счету от</w:t>
      </w:r>
      <w:r>
        <w:rPr>
          <w:sz w:val="24"/>
          <w:szCs w:val="24"/>
        </w:rPr>
        <w:t>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>15         Пункты 13-14 действуют в отношении как изменений, внесенных при первоначальном применении настоящего стандарта, так и изменений, внесенных в последующих отчетных периодах.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Взаимодействие с другими стандартами МСФО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16</w:t>
      </w:r>
      <w:r>
        <w:rPr>
          <w:sz w:val="24"/>
          <w:szCs w:val="24"/>
        </w:rPr>
        <w:t>   </w:t>
      </w:r>
      <w:r>
        <w:rPr>
          <w:sz w:val="24"/>
          <w:szCs w:val="24"/>
        </w:rPr>
        <w:t xml:space="preserve">      </w:t>
      </w:r>
      <w:r>
        <w:rPr>
          <w:b/>
          <w:bCs/>
          <w:sz w:val="24"/>
          <w:szCs w:val="24"/>
        </w:rPr>
        <w:t>Конкретные исключения, освобождения или дополнительные требования, относящиеся к взаимодействию настоящего стандарта с другими стандартами МСФО, содержатся в настоящем стандарте (см. пункты В7-В28). В отсутствие таких исключений, освобождений или доп</w:t>
      </w:r>
      <w:r>
        <w:rPr>
          <w:b/>
          <w:bCs/>
          <w:sz w:val="24"/>
          <w:szCs w:val="24"/>
        </w:rPr>
        <w:t>олнительных требований в отношении остатков по счету отложенных тарифных разниц должны применяться другие стандарты МСФО таким же образом, как они применяются в отношении активов, обязательств, доходов и расходов, которые признаются в соответствии с другим</w:t>
      </w:r>
      <w:r>
        <w:rPr>
          <w:b/>
          <w:bCs/>
          <w:sz w:val="24"/>
          <w:szCs w:val="24"/>
        </w:rPr>
        <w:t>и стандартами МСФО.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17         В некоторых случаях может потребоваться применить другой стандарт в составе МСФО в отношении остатка по счету отложенных тарифных разниц, который был оценен согласно учетной политике организации, установленной в соответствии </w:t>
      </w:r>
      <w:r>
        <w:rPr>
          <w:sz w:val="24"/>
          <w:szCs w:val="24"/>
        </w:rPr>
        <w:t>с пунктами 11-12, чтобы надлежащим образом отразить данный остаток в финансовой отчетности. Например, организация может осуществлять деятельность, подлежащую тарифному регулированию, в зарубежной стране, в отношении которой операции и остатки по счету отло</w:t>
      </w:r>
      <w:r>
        <w:rPr>
          <w:sz w:val="24"/>
          <w:szCs w:val="24"/>
        </w:rPr>
        <w:t xml:space="preserve">женных тарифных разниц номинированы в валюте, не являющейся функциональной валютой отчитывающейся организации. Остатки по счету отложенных тарифных разниц и движения по этим остаткам пересчитываются с применением МСФО (IAS) 21 </w:t>
      </w:r>
      <w:r>
        <w:rPr>
          <w:i/>
          <w:iCs/>
          <w:sz w:val="24"/>
          <w:szCs w:val="24"/>
        </w:rPr>
        <w:t>«Влияние изменений обменных к</w:t>
      </w:r>
      <w:r>
        <w:rPr>
          <w:i/>
          <w:iCs/>
          <w:sz w:val="24"/>
          <w:szCs w:val="24"/>
        </w:rPr>
        <w:t>урсов валют»</w:t>
      </w:r>
      <w:r>
        <w:rPr>
          <w:sz w:val="24"/>
          <w:szCs w:val="24"/>
        </w:rPr>
        <w:t>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Представление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Изменения в порядке представления</w:t>
      </w:r>
    </w:p>
    <w:p w:rsidR="00000000" w:rsidRDefault="00203A1B">
      <w:pPr>
        <w:pStyle w:val="IASBNormalnpara"/>
      </w:pPr>
      <w:r>
        <w:rPr>
          <w:sz w:val="24"/>
          <w:szCs w:val="24"/>
        </w:rPr>
        <w:t>18         В настоящем стандарте, в пунктах 20-26 вводятся требования к представлению информации относительно остатков по счету отложенных тарифных разниц, которые признаются в соответствии с пу</w:t>
      </w:r>
      <w:r>
        <w:rPr>
          <w:sz w:val="24"/>
          <w:szCs w:val="24"/>
        </w:rPr>
        <w:t>нктами 11-12. При применении настоящего стандарта остатки по счету отложенных тарифных разниц признаются в отчете о финансовом положении в дополнение к активам и обязательствам, которые подлежат признанию в соответствии с другими стандартами МСФО. Данные т</w:t>
      </w:r>
      <w:r>
        <w:rPr>
          <w:sz w:val="24"/>
          <w:szCs w:val="24"/>
        </w:rPr>
        <w:t>ребования к представлению информации отделяют влияние, оказываемое признанием остатков по счету отложенных тарифных разниц, от требований других стандартов МСФО к представлению информации в финансовой отчетности.</w:t>
      </w:r>
    </w:p>
    <w:p w:rsidR="00000000" w:rsidRDefault="00203A1B">
      <w:pPr>
        <w:pStyle w:val="IASBNormalnpara"/>
      </w:pPr>
      <w:r>
        <w:rPr>
          <w:sz w:val="24"/>
          <w:szCs w:val="24"/>
        </w:rPr>
        <w:t>19         В дополнение к статьям, обязател</w:t>
      </w:r>
      <w:r>
        <w:rPr>
          <w:sz w:val="24"/>
          <w:szCs w:val="24"/>
        </w:rPr>
        <w:t xml:space="preserve">ьным к представлению в отчете о финансовом положении и в отчете (отчетах) о прибыли или убытке и прочем совокупном доходе в соответствии с МСФО (IAS) 1 </w:t>
      </w:r>
      <w:r>
        <w:rPr>
          <w:i/>
          <w:iCs/>
          <w:sz w:val="24"/>
          <w:szCs w:val="24"/>
        </w:rPr>
        <w:t>«Представление финансовой отчетности»</w:t>
      </w:r>
      <w:r>
        <w:rPr>
          <w:sz w:val="24"/>
          <w:szCs w:val="24"/>
        </w:rPr>
        <w:t>, организация, применяющая настоящий стандарт, должна представить в</w:t>
      </w:r>
      <w:r>
        <w:rPr>
          <w:sz w:val="24"/>
          <w:szCs w:val="24"/>
        </w:rPr>
        <w:t>се остатки по счету отложенных тарифных разниц, а также движения по этим остаткам в соответствии с пунктами 20-26.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Классификация остатков по счету отложенных тарифных разниц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20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Организация обязана представлять в виде отдельных статей в отчете о фин</w:t>
      </w:r>
      <w:r>
        <w:rPr>
          <w:b/>
          <w:bCs/>
          <w:sz w:val="24"/>
          <w:szCs w:val="24"/>
        </w:rPr>
        <w:t>ансовом положении следующее: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итоговая сумма всех дебетовых остатков по счету отложенных тарифных разниц; и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        </w:t>
      </w:r>
      <w:r>
        <w:rPr>
          <w:b/>
          <w:bCs/>
          <w:sz w:val="24"/>
          <w:szCs w:val="24"/>
        </w:rPr>
        <w:t>итоговая сумма всех кредитовых остатков по счету отложенных тарифных разниц.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21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Если организация представляет оборотны</w:t>
      </w:r>
      <w:r>
        <w:rPr>
          <w:b/>
          <w:bCs/>
          <w:sz w:val="24"/>
          <w:szCs w:val="24"/>
        </w:rPr>
        <w:t>е и внеоборотные активы, а также краткосрочные и долгосрочные обязательства в виде отдельных классификаций в своем отчете о финансовом положении, она не должна классифицировать итоговые суммы остатков по счету отложенных тарифных разниц как оборотные или в</w:t>
      </w:r>
      <w:r>
        <w:rPr>
          <w:b/>
          <w:bCs/>
          <w:sz w:val="24"/>
          <w:szCs w:val="24"/>
        </w:rPr>
        <w:t>необоротные / краткосрочные или долгосрочные. Вместо этого статьи, требуемые согласно пункту 20, должны представляться отдельно от активов и обязательств, представляемых согласно другим стандартам МСФО, посредством использования промежуточных итоговых сумм</w:t>
      </w:r>
      <w:r>
        <w:rPr>
          <w:b/>
          <w:bCs/>
          <w:sz w:val="24"/>
          <w:szCs w:val="24"/>
        </w:rPr>
        <w:t>, представляемых в отчетности перед остатками по счету отложенных тарифных разниц.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Классификация движений остатков по счету отложенных тарифных разниц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22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Организация должна представлять в разделе «Прочий совокупный доход» отчета о прибыли или убытк</w:t>
      </w:r>
      <w:r>
        <w:rPr>
          <w:b/>
          <w:bCs/>
          <w:sz w:val="24"/>
          <w:szCs w:val="24"/>
        </w:rPr>
        <w:t>е и прочем совокупном доходе чистое движение всех остатков по счету отложенных тарифных разниц за отчетный период, которые относятся к статьям, признанным в составе прочего совокупного дохода. Отдельные статьи отчетности должны использоваться для представл</w:t>
      </w:r>
      <w:r>
        <w:rPr>
          <w:b/>
          <w:bCs/>
          <w:sz w:val="24"/>
          <w:szCs w:val="24"/>
        </w:rPr>
        <w:t>ения чистого движения, относящегося к статьям, которые в соответствии с другими стандартами МСФО: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не будут впоследствии реклассифицированы в состав прибыли или убытка; и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        </w:t>
      </w:r>
      <w:r>
        <w:rPr>
          <w:b/>
          <w:bCs/>
          <w:sz w:val="24"/>
          <w:szCs w:val="24"/>
        </w:rPr>
        <w:t>будут впоследствии реклассифицированы в состав прибыли или убыт</w:t>
      </w:r>
      <w:r>
        <w:rPr>
          <w:b/>
          <w:bCs/>
          <w:sz w:val="24"/>
          <w:szCs w:val="24"/>
        </w:rPr>
        <w:t>ка в случае соблюдения определенных условий.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23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Организация должна представлять в качестве отдельной статьи в разделе «Прибыль или убыток» отчета о прибыли или убытке и прочем совокупном доходе, либо в отдельном отчете о прибыли или убытке, оставше</w:t>
      </w:r>
      <w:r>
        <w:rPr>
          <w:b/>
          <w:bCs/>
          <w:sz w:val="24"/>
          <w:szCs w:val="24"/>
        </w:rPr>
        <w:t>еся чистое движение всех остатков по счету отложенных тарифных разниц за отчетный период, исключая движения, которые не отражаются в составе прибыли или убытка, такие как суммы, относящиеся к приобретениям. Данная статья отчетности должна представляться от</w:t>
      </w:r>
      <w:r>
        <w:rPr>
          <w:b/>
          <w:bCs/>
          <w:sz w:val="24"/>
          <w:szCs w:val="24"/>
        </w:rPr>
        <w:t>дельно от доходов и расходов, представляемых в соответствии с другими стандартами МСФО, посредством использования промежуточной итоговой суммы, представляемой до чистого движения остатков по счету отложенных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>24         Если организация при</w:t>
      </w:r>
      <w:r>
        <w:rPr>
          <w:sz w:val="24"/>
          <w:szCs w:val="24"/>
        </w:rPr>
        <w:t xml:space="preserve">знает отложенный налоговый актив или отложенное налоговое обязательство в результате признания остатков по счету отложенных тарифных разниц, то организация должна представлять полученный в итоге отложенный налоговый актив (обязательство) и соответствующее </w:t>
      </w:r>
      <w:r>
        <w:rPr>
          <w:sz w:val="24"/>
          <w:szCs w:val="24"/>
        </w:rPr>
        <w:t xml:space="preserve">движение данного отложенного налогового актива (обязательства) вместе с соответствующими остатками по счету отложенных тарифных разниц и движениями данных остатков, а не в составе итоговой суммы, представляемой в соответствии с МСФО (IAS) 12 </w:t>
      </w:r>
      <w:r>
        <w:rPr>
          <w:i/>
          <w:iCs/>
          <w:sz w:val="24"/>
          <w:szCs w:val="24"/>
        </w:rPr>
        <w:t>«Налоги на при</w:t>
      </w:r>
      <w:r>
        <w:rPr>
          <w:i/>
          <w:iCs/>
          <w:sz w:val="24"/>
          <w:szCs w:val="24"/>
        </w:rPr>
        <w:t>быль»</w:t>
      </w:r>
      <w:r>
        <w:rPr>
          <w:sz w:val="24"/>
          <w:szCs w:val="24"/>
        </w:rPr>
        <w:t xml:space="preserve"> в отношении отложенных налоговых активов (обязательств) и расхода (дохода) по налогу на прибыль (см. пункты В9-В12).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25         Если организация представляет прекращенную деятельность или выбывающую группу в соответствии с МСФО (IFRS) 5 </w:t>
      </w:r>
      <w:r>
        <w:rPr>
          <w:i/>
          <w:iCs/>
          <w:sz w:val="24"/>
          <w:szCs w:val="24"/>
        </w:rPr>
        <w:t>«Долгосрочные</w:t>
      </w:r>
      <w:r>
        <w:rPr>
          <w:i/>
          <w:iCs/>
          <w:sz w:val="24"/>
          <w:szCs w:val="24"/>
        </w:rPr>
        <w:t xml:space="preserve"> активы, предназначенные для продажи, и прекращенная деятельность»</w:t>
      </w:r>
      <w:r>
        <w:rPr>
          <w:sz w:val="24"/>
          <w:szCs w:val="24"/>
        </w:rPr>
        <w:t>, то организация должна представлять относящиеся к ним остатки по счету отложенных тарифных разниц и чистое движение данных остатков, соответственно, вместе с остатками по счету отложенных т</w:t>
      </w:r>
      <w:r>
        <w:rPr>
          <w:sz w:val="24"/>
          <w:szCs w:val="24"/>
        </w:rPr>
        <w:t>арифных разниц и движениями данных остатков, а не в составе выбывающих групп или прекращенной деятельности (см. пункты В19-В22).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26         Если организация представляет прибыль на акцию в соответствии с МСФО (IAS) 33 </w:t>
      </w:r>
      <w:r>
        <w:rPr>
          <w:i/>
          <w:iCs/>
          <w:sz w:val="24"/>
          <w:szCs w:val="24"/>
        </w:rPr>
        <w:t>«Прибыль на акцию»</w:t>
      </w:r>
      <w:r>
        <w:rPr>
          <w:sz w:val="24"/>
          <w:szCs w:val="24"/>
        </w:rPr>
        <w:t>, то организация должна представлять дополнительные показатели базовой и разводненной прибыли на акцию, которые рассчитываются с использованием сумм прибыли, требуемых согласно МСФО (IAS) 33, но не включают в себя движения остатков по счету отложенных тари</w:t>
      </w:r>
      <w:r>
        <w:rPr>
          <w:sz w:val="24"/>
          <w:szCs w:val="24"/>
        </w:rPr>
        <w:t>фных разниц (см. пункты B13-B14).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Раскрытие информации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Цель</w:t>
      </w:r>
    </w:p>
    <w:p w:rsidR="00000000" w:rsidRDefault="00203A1B">
      <w:pPr>
        <w:pStyle w:val="IASBNormalnpara"/>
      </w:pPr>
      <w:r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Организация, которая принимает решение о применении настоящего стандарта, должна раскрыть информацию, которая позволит пользователям оценить следующее: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         </w:t>
      </w:r>
      <w:r>
        <w:rPr>
          <w:b/>
          <w:bCs/>
          <w:sz w:val="24"/>
          <w:szCs w:val="24"/>
        </w:rPr>
        <w:t>характер тарифного ре</w:t>
      </w:r>
      <w:r>
        <w:rPr>
          <w:b/>
          <w:bCs/>
          <w:sz w:val="24"/>
          <w:szCs w:val="24"/>
        </w:rPr>
        <w:t>гулирования, в рамках которого устанавливается цена (цены), которую(ые) организация может взимать со своих клиентов за поставляемые ею товары или оказываемые услуги, а также связанные с данным тарифным регулированием риски; и</w:t>
      </w:r>
    </w:p>
    <w:p w:rsidR="00000000" w:rsidRDefault="00203A1B">
      <w:pPr>
        <w:pStyle w:val="IASBNormalnparaL1"/>
      </w:pP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        </w:t>
      </w:r>
      <w:r>
        <w:rPr>
          <w:b/>
          <w:bCs/>
          <w:sz w:val="24"/>
          <w:szCs w:val="24"/>
        </w:rPr>
        <w:t>влияние данного тар</w:t>
      </w:r>
      <w:r>
        <w:rPr>
          <w:b/>
          <w:bCs/>
          <w:sz w:val="24"/>
          <w:szCs w:val="24"/>
        </w:rPr>
        <w:t>ифного регулирования на ее финансовое положение, финансовые результаты и денежные потоки.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28         </w:t>
      </w:r>
      <w:r>
        <w:rPr>
          <w:sz w:val="24"/>
          <w:szCs w:val="24"/>
        </w:rPr>
        <w:t>Если какие-либо из раскрытий, указанных в пунктах 30-36, не считаются уместными для достижения цели, приведенной в пункте 27, они могут не включаться в финансовую отчетность. Если раскрытия, представленные в соответствии с пунктами 30-36, являются недостат</w:t>
      </w:r>
      <w:r>
        <w:rPr>
          <w:sz w:val="24"/>
          <w:szCs w:val="24"/>
        </w:rPr>
        <w:t>очными для достижения цели, приведенной в пункте 27, то организация должна раскрыть дополнительную информацию, которая необходима для достижения данной цели.</w:t>
      </w:r>
    </w:p>
    <w:p w:rsidR="00000000" w:rsidRDefault="00203A1B">
      <w:pPr>
        <w:pStyle w:val="IASBNormalnpara"/>
      </w:pPr>
      <w:r>
        <w:rPr>
          <w:sz w:val="24"/>
          <w:szCs w:val="24"/>
        </w:rPr>
        <w:t>29         Чтобы достичь цели раскрытия информации, приведенной в пункте 27, организация должна пр</w:t>
      </w:r>
      <w:r>
        <w:rPr>
          <w:sz w:val="24"/>
          <w:szCs w:val="24"/>
        </w:rPr>
        <w:t>инять во внимание все нижеперечисленное: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степень детализации, необходимую для выполнения требований к раскрытию информации;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степень важности каждого из различных требований к раскрытию информации;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(c)         насколько агрегированно</w:t>
      </w:r>
      <w:r>
        <w:rPr>
          <w:sz w:val="24"/>
          <w:szCs w:val="24"/>
        </w:rPr>
        <w:t>й либо дезагрегированной должна быть информация; и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(d)        необходима ли пользователям финансовой отчетности дополнительная информация, чтобы оценить раскрытую количественную информацию.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Пояснение видов деятельности, являющихся предметом тарифного регул</w:t>
      </w:r>
      <w:r>
        <w:rPr>
          <w:rFonts w:ascii="Times New Roman" w:hAnsi="Times New Roman" w:cs="Times New Roman"/>
          <w:sz w:val="24"/>
          <w:szCs w:val="24"/>
        </w:rPr>
        <w:t>ирования</w:t>
      </w:r>
    </w:p>
    <w:p w:rsidR="00000000" w:rsidRDefault="00203A1B">
      <w:pPr>
        <w:pStyle w:val="IASBNormalnpara"/>
      </w:pPr>
      <w:r>
        <w:rPr>
          <w:sz w:val="24"/>
          <w:szCs w:val="24"/>
        </w:rPr>
        <w:t>30         Чтобы помочь пользователю финансовой отчетности оценить характер видов деятельности организации, подлежащих тарифному регулированию, а также связанные с ними риски, организация должна раскрыть следующую информацию по каждому виду деятел</w:t>
      </w:r>
      <w:r>
        <w:rPr>
          <w:sz w:val="24"/>
          <w:szCs w:val="24"/>
        </w:rPr>
        <w:t>ьности, подлежащему тарифному регулированию: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краткое описание характера и масштаба деятельности, подлежащей тарифному регулированию, а также характера процесса установления тарифов в рамках регулирования;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наименование органа (или ор</w:t>
      </w:r>
      <w:r>
        <w:rPr>
          <w:sz w:val="24"/>
          <w:szCs w:val="24"/>
        </w:rPr>
        <w:t xml:space="preserve">ганов), регулирующего(щих) тарифы. Если орган, регулирующий тарифы, является связанной стороной (согласно определению в МСФО (IAS) 24 </w:t>
      </w:r>
      <w:r>
        <w:rPr>
          <w:i/>
          <w:iCs/>
          <w:sz w:val="24"/>
          <w:szCs w:val="24"/>
        </w:rPr>
        <w:t>«Раскрытие информации о связанных сторонах»</w:t>
      </w:r>
      <w:r>
        <w:rPr>
          <w:sz w:val="24"/>
          <w:szCs w:val="24"/>
        </w:rPr>
        <w:t>), то организация должна раскрыть этот факт вместе с объяснением того, каким об</w:t>
      </w:r>
      <w:r>
        <w:rPr>
          <w:sz w:val="24"/>
          <w:szCs w:val="24"/>
        </w:rPr>
        <w:t>разом он с ней связан;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(c)         как риски и неопределенность влияют на будущее возмещение каждого класса (т. е. каждого типа затрат или доходов) дебетовых остатков по счету отложенных тарифных разниц либо на восстановление каждого класса кредитовых оста</w:t>
      </w:r>
      <w:r>
        <w:rPr>
          <w:sz w:val="24"/>
          <w:szCs w:val="24"/>
        </w:rPr>
        <w:t>тков по счету отложенных тарифных разниц, к примеру: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(i)          риск изменения спроса (например, изменение отношения потребителей к товару или услуге, наличие альтернативных источников поставки или уровень конкуренции);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(ii)         риск, связанный с рег</w:t>
      </w:r>
      <w:r>
        <w:rPr>
          <w:sz w:val="24"/>
          <w:szCs w:val="24"/>
        </w:rPr>
        <w:t>улированием тарифов (например, подача либо утверждение заявки на установление тарифа или анализ организацией ожидаемых будущих действий регулирующего органа); и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(iii)        прочие риски (например, валютный или прочие рыночные риски).</w:t>
      </w:r>
    </w:p>
    <w:p w:rsidR="00000000" w:rsidRDefault="00203A1B">
      <w:pPr>
        <w:pStyle w:val="IASBNormalnpara"/>
      </w:pPr>
      <w:r>
        <w:rPr>
          <w:sz w:val="24"/>
          <w:szCs w:val="24"/>
        </w:rPr>
        <w:t>31         Информация</w:t>
      </w:r>
      <w:r>
        <w:rPr>
          <w:sz w:val="24"/>
          <w:szCs w:val="24"/>
        </w:rPr>
        <w:t>, раскрытие которой требуется согласно пункту 30, должна быть представлена в финансовой отчетности либо непосредственно в примечаниях, либо включена посредством перекрестных ссылок из финансовой отчетности на какой-либо иной отчет, такой как пояснения руко</w:t>
      </w:r>
      <w:r>
        <w:rPr>
          <w:sz w:val="24"/>
          <w:szCs w:val="24"/>
        </w:rPr>
        <w:t>водства или отчет о рисках, который доступен для пользователей финансовой отчетности на тех же условиях и в те же сроки, что и сама финансовая отчетность. Если данная информация не включена в финансовую отчетность непосредственно либо посредством перекрест</w:t>
      </w:r>
      <w:r>
        <w:rPr>
          <w:sz w:val="24"/>
          <w:szCs w:val="24"/>
        </w:rPr>
        <w:t>ных ссылок, то финансовая отчетность является неполной.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Пояснение сумм, признанных в отчетности</w:t>
      </w:r>
    </w:p>
    <w:p w:rsidR="00000000" w:rsidRDefault="00203A1B">
      <w:pPr>
        <w:pStyle w:val="IASBNormalnpara"/>
      </w:pPr>
      <w:r>
        <w:rPr>
          <w:sz w:val="24"/>
          <w:szCs w:val="24"/>
        </w:rPr>
        <w:t>32         Организация должна раскрыть основу, на которой осуществляется признание и прекращение признания остатков по счету отложенных тарифных разниц, и то, к</w:t>
      </w:r>
      <w:r>
        <w:rPr>
          <w:sz w:val="24"/>
          <w:szCs w:val="24"/>
        </w:rPr>
        <w:t>ак они оцениваются первоначально и впоследствии, включая описание того, как остатки по счету отложенных тарифных разниц анализируются на предмет возмещаемости, и того, как осуществляется распределение убытка от обесценения.</w:t>
      </w:r>
    </w:p>
    <w:p w:rsidR="00000000" w:rsidRDefault="00203A1B">
      <w:pPr>
        <w:pStyle w:val="IASBNormalnpara"/>
      </w:pPr>
      <w:r>
        <w:rPr>
          <w:sz w:val="24"/>
          <w:szCs w:val="24"/>
        </w:rPr>
        <w:t>33         По каждому виду деяте</w:t>
      </w:r>
      <w:r>
        <w:rPr>
          <w:sz w:val="24"/>
          <w:szCs w:val="24"/>
        </w:rPr>
        <w:t>льности, подлежащей тарифному регулированию, организация должна раскрыть следующую информацию для каждого класса остатков по счету отложенных тарифных разниц: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сверку балансовой стоимости на начало и конец периода в табличном формате, если тольк</w:t>
      </w:r>
      <w:r>
        <w:rPr>
          <w:sz w:val="24"/>
          <w:szCs w:val="24"/>
        </w:rPr>
        <w:t>о иной формат не является более уместным. Организация должна применять суждение при определении необходимого уровня детализации информации (см. пункты 28-29), однако обычно уместными будут следующие компоненты: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(i)          суммы, признанные в текущем пери</w:t>
      </w:r>
      <w:r>
        <w:rPr>
          <w:sz w:val="24"/>
          <w:szCs w:val="24"/>
        </w:rPr>
        <w:t>оде в отчете о финансовом положении как остатки по счету отложенных тарифных разниц;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(ii)         суммы, признанные в отчете (отчетах) о прибыли или убытке и прочем совокупном доходе в отношении остатков, которые были возмещены (иногда описываются как амор</w:t>
      </w:r>
      <w:r>
        <w:rPr>
          <w:sz w:val="24"/>
          <w:szCs w:val="24"/>
        </w:rPr>
        <w:t>тизированные) или восстановлены в текущем периоде; и</w:t>
      </w:r>
    </w:p>
    <w:p w:rsidR="00000000" w:rsidRDefault="00203A1B">
      <w:pPr>
        <w:pStyle w:val="IASBNormalnparaL2"/>
      </w:pPr>
      <w:r>
        <w:rPr>
          <w:sz w:val="24"/>
          <w:szCs w:val="24"/>
        </w:rPr>
        <w:t>(iii)        прочие отдельно идентифицированные суммы, которые оказали влияние на остатки по счету отложенных тарифных разниц, такие как обесценение, статьи, приобретенные или принятые в рамках объединен</w:t>
      </w:r>
      <w:r>
        <w:rPr>
          <w:sz w:val="24"/>
          <w:szCs w:val="24"/>
        </w:rPr>
        <w:t>ия бизнеса, выбывшие статьи или влияние изменений валютных курсов или ставок дисконтирования;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норму доходности или ставку дисконтирования (включая нулевую ставку или диапазон ставок, если это применимо), используемые для отражения временной сто</w:t>
      </w:r>
      <w:r>
        <w:rPr>
          <w:sz w:val="24"/>
          <w:szCs w:val="24"/>
        </w:rPr>
        <w:t>имости денег, которая применима к каждому классу остатков по счету отложенных тарифных разниц; и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(c)         оставшиеся периоды, на протяжении которых организация ожидает возместить (или амортизировать) балансовую стоимость каждого класса дебетовых остатко</w:t>
      </w:r>
      <w:r>
        <w:rPr>
          <w:sz w:val="24"/>
          <w:szCs w:val="24"/>
        </w:rPr>
        <w:t>в по счету отложенных тарифных разниц либо восстановить каждый класс кредитовых остатков по счету отложенных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34         Если тарифное регулирование оказывает влияние на сумму и сроки расходов (доходов) организации по налогу на прибыль, то </w:t>
      </w:r>
      <w:r>
        <w:rPr>
          <w:sz w:val="24"/>
          <w:szCs w:val="24"/>
        </w:rPr>
        <w:t>организация должна раскрыть влияние тарифного регулирования на суммы признанного текущего и отложенного налога. Кроме того, организация должна отдельно раскрыть любой остаток по счету отложенных тарифных разниц, относящийся к налогообложению, а также соотв</w:t>
      </w:r>
      <w:r>
        <w:rPr>
          <w:sz w:val="24"/>
          <w:szCs w:val="24"/>
        </w:rPr>
        <w:t xml:space="preserve">етствующее движение данного остатка. 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35         Если организация раскрывает информацию в соответствии с МСФО (IFRS) 12 </w:t>
      </w:r>
      <w:r>
        <w:rPr>
          <w:i/>
          <w:iCs/>
          <w:sz w:val="24"/>
          <w:szCs w:val="24"/>
        </w:rPr>
        <w:t>«Раскрытие информации об участии в других предприятиях»</w:t>
      </w:r>
      <w:r>
        <w:rPr>
          <w:sz w:val="24"/>
          <w:szCs w:val="24"/>
        </w:rPr>
        <w:t xml:space="preserve"> в отношении доли участия в дочерней организации, зависимой организации либо совм</w:t>
      </w:r>
      <w:r>
        <w:rPr>
          <w:sz w:val="24"/>
          <w:szCs w:val="24"/>
        </w:rPr>
        <w:t>естном предприятии, которые осуществляют деятельность, подлежащую тарифному регулированию, и в отношении которой в соответствии с настоящим стандартом признаются остатки по счету отложенных тарифных разниц, организация должна раскрыть включенные в отчетнос</w:t>
      </w:r>
      <w:r>
        <w:rPr>
          <w:sz w:val="24"/>
          <w:szCs w:val="24"/>
        </w:rPr>
        <w:t>ть суммы дебетовых и кредитовых остатков по счету отложенных тарифных разниц, а также чистое движение данных остатков в отношении тех долей участия, информация о которых была ею раскрыта (см. пункты В25-B28).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36         Если организация приходит к выводу, </w:t>
      </w:r>
      <w:r>
        <w:rPr>
          <w:sz w:val="24"/>
          <w:szCs w:val="24"/>
        </w:rPr>
        <w:t>что остаток по счету отложенных тарифных разниц более не подлежит возмещению или восстановлению в полной мере, она должна раскрыть этот факт, причины, по которым он не подлежит возмещению или восстановлению, а также сумму, на которую была уменьшена величин</w:t>
      </w:r>
      <w:r>
        <w:rPr>
          <w:sz w:val="24"/>
          <w:szCs w:val="24"/>
        </w:rPr>
        <w:t xml:space="preserve">а данного остатка по счету отложенных тарифных разниц. </w:t>
      </w:r>
    </w:p>
    <w:p w:rsidR="00000000" w:rsidRDefault="00203A1B">
      <w:pPr>
        <w:pStyle w:val="IASBSectionTitle1NonInd"/>
      </w:pPr>
      <w:r>
        <w:rPr>
          <w:rFonts w:eastAsia="Times New Roman"/>
          <w:b w:val="0"/>
          <w:bCs w:val="0"/>
        </w:rPr>
        <w:br w:type="page"/>
      </w:r>
      <w:r>
        <w:rPr>
          <w:rFonts w:ascii="Times New Roman" w:hAnsi="Times New Roman" w:cs="Times New Roman"/>
          <w:sz w:val="24"/>
          <w:szCs w:val="24"/>
        </w:rPr>
        <w:t>Приложение A</w:t>
      </w:r>
      <w:r>
        <w:rPr>
          <w:rFonts w:ascii="Times New Roman" w:hAnsi="Times New Roman" w:cs="Times New Roman"/>
          <w:sz w:val="24"/>
          <w:szCs w:val="24"/>
        </w:rPr>
        <w:br/>
        <w:t>Определяемые термины</w:t>
      </w:r>
    </w:p>
    <w:p w:rsidR="00000000" w:rsidRDefault="00203A1B">
      <w:pPr>
        <w:pStyle w:val="IASBNote"/>
      </w:pPr>
      <w:r>
        <w:rPr>
          <w:sz w:val="24"/>
          <w:szCs w:val="24"/>
        </w:rPr>
        <w:t>Данное приложение является неотъемлемой частью настоящего стандарта.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6825"/>
      </w:tblGrid>
      <w:tr w:rsidR="00000000">
        <w:trPr>
          <w:cantSplit/>
        </w:trPr>
        <w:tc>
          <w:tcPr>
            <w:tcW w:w="2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203A1B">
            <w:pPr>
              <w:pStyle w:val="IASBTableTNR"/>
            </w:pPr>
            <w:r>
              <w:rPr>
                <w:b/>
                <w:bCs/>
                <w:sz w:val="24"/>
                <w:szCs w:val="24"/>
              </w:rPr>
              <w:t>Первая финансовая отчетность по МСФО (IFRS)</w:t>
            </w:r>
          </w:p>
        </w:tc>
        <w:tc>
          <w:tcPr>
            <w:tcW w:w="6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TNR"/>
            </w:pPr>
            <w:r>
              <w:rPr>
                <w:sz w:val="24"/>
                <w:szCs w:val="24"/>
              </w:rPr>
              <w:t>Первая годовая финансовая отчетность, в которой предприятие применяет Международные стандарты финансовой отчетности (IFRS) согласно четкому и безоговорочному заявлению о соответствии Международным стандартам финансовой отчетности (IFRS).</w:t>
            </w:r>
          </w:p>
        </w:tc>
      </w:tr>
      <w:tr w:rsidR="00000000">
        <w:trPr>
          <w:cantSplit/>
        </w:trPr>
        <w:tc>
          <w:tcPr>
            <w:tcW w:w="2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203A1B">
            <w:pPr>
              <w:pStyle w:val="IASBTableTNR"/>
            </w:pPr>
            <w:r>
              <w:rPr>
                <w:b/>
                <w:bCs/>
                <w:sz w:val="24"/>
                <w:szCs w:val="24"/>
              </w:rPr>
              <w:t>Предприятие, в</w:t>
            </w:r>
            <w:r>
              <w:rPr>
                <w:b/>
                <w:bCs/>
                <w:sz w:val="24"/>
                <w:szCs w:val="24"/>
              </w:rPr>
              <w:t>первые применяющее МСФО (IFRS)</w:t>
            </w:r>
          </w:p>
        </w:tc>
        <w:tc>
          <w:tcPr>
            <w:tcW w:w="6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TNR"/>
            </w:pPr>
            <w:r>
              <w:rPr>
                <w:sz w:val="24"/>
                <w:szCs w:val="24"/>
              </w:rPr>
              <w:t xml:space="preserve">Предприятие, представляющее свою </w:t>
            </w:r>
            <w:r>
              <w:rPr>
                <w:b/>
                <w:bCs/>
                <w:sz w:val="24"/>
                <w:szCs w:val="24"/>
              </w:rPr>
              <w:t>первую финансовую отчетность по МСФО (IFRS)</w:t>
            </w:r>
            <w:r>
              <w:rPr>
                <w:sz w:val="24"/>
                <w:szCs w:val="24"/>
              </w:rPr>
              <w:t>.</w:t>
            </w:r>
          </w:p>
        </w:tc>
      </w:tr>
      <w:tr w:rsidR="00000000">
        <w:trPr>
          <w:cantSplit/>
        </w:trPr>
        <w:tc>
          <w:tcPr>
            <w:tcW w:w="2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203A1B">
            <w:pPr>
              <w:pStyle w:val="IASBTableTNR"/>
            </w:pPr>
            <w:r>
              <w:rPr>
                <w:b/>
                <w:bCs/>
                <w:sz w:val="24"/>
                <w:szCs w:val="24"/>
              </w:rPr>
              <w:t>Ранее применявшиеся ОПБУ (Общепринятые принципы бухгалтерского учета)</w:t>
            </w:r>
          </w:p>
        </w:tc>
        <w:tc>
          <w:tcPr>
            <w:tcW w:w="6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TNR"/>
            </w:pPr>
            <w:r>
              <w:rPr>
                <w:sz w:val="24"/>
                <w:szCs w:val="24"/>
              </w:rPr>
              <w:t xml:space="preserve">Методы бухгалтерского учета, использованные </w:t>
            </w:r>
            <w:r>
              <w:rPr>
                <w:b/>
                <w:bCs/>
                <w:sz w:val="24"/>
                <w:szCs w:val="24"/>
              </w:rPr>
              <w:t>предприятием, впервые применяющим МСФО (IFRS)</w:t>
            </w:r>
            <w:r>
              <w:rPr>
                <w:sz w:val="24"/>
                <w:szCs w:val="24"/>
              </w:rPr>
              <w:t>, непосредственно перед применением МСФО (IFRS).</w:t>
            </w:r>
          </w:p>
        </w:tc>
      </w:tr>
      <w:tr w:rsidR="00000000">
        <w:trPr>
          <w:cantSplit/>
        </w:trPr>
        <w:tc>
          <w:tcPr>
            <w:tcW w:w="2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203A1B">
            <w:pPr>
              <w:pStyle w:val="IASBTableTNR"/>
            </w:pPr>
            <w:r>
              <w:rPr>
                <w:b/>
                <w:bCs/>
                <w:sz w:val="24"/>
                <w:szCs w:val="24"/>
              </w:rPr>
              <w:t>Деятельность, подлежащая тарифному регулированию</w:t>
            </w:r>
          </w:p>
        </w:tc>
        <w:tc>
          <w:tcPr>
            <w:tcW w:w="6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TNR"/>
            </w:pPr>
            <w:r>
              <w:rPr>
                <w:sz w:val="24"/>
                <w:szCs w:val="24"/>
              </w:rPr>
              <w:t xml:space="preserve">Виды деятельности организации, подлежащие </w:t>
            </w:r>
            <w:r>
              <w:rPr>
                <w:b/>
                <w:bCs/>
                <w:sz w:val="24"/>
                <w:szCs w:val="24"/>
              </w:rPr>
              <w:t>тарифному регулированию</w:t>
            </w:r>
            <w:r>
              <w:rPr>
                <w:sz w:val="24"/>
                <w:szCs w:val="24"/>
              </w:rPr>
              <w:t>.</w:t>
            </w:r>
          </w:p>
        </w:tc>
      </w:tr>
      <w:tr w:rsidR="00000000">
        <w:trPr>
          <w:cantSplit/>
        </w:trPr>
        <w:tc>
          <w:tcPr>
            <w:tcW w:w="2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203A1B">
            <w:pPr>
              <w:pStyle w:val="IASBTableTNR"/>
            </w:pPr>
            <w:r>
              <w:rPr>
                <w:b/>
                <w:bCs/>
                <w:sz w:val="24"/>
                <w:szCs w:val="24"/>
              </w:rPr>
              <w:t>Тарифное регулирование</w:t>
            </w:r>
          </w:p>
        </w:tc>
        <w:tc>
          <w:tcPr>
            <w:tcW w:w="6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TNR"/>
            </w:pPr>
            <w:r>
              <w:rPr>
                <w:sz w:val="24"/>
                <w:szCs w:val="24"/>
              </w:rPr>
              <w:t>Режим ценообр</w:t>
            </w:r>
            <w:r>
              <w:rPr>
                <w:sz w:val="24"/>
                <w:szCs w:val="24"/>
              </w:rPr>
              <w:t xml:space="preserve">азования в отношении товаров и услуг для клиентов, и при этом данный режим является предметом надзора и/или утверждения </w:t>
            </w:r>
            <w:r>
              <w:rPr>
                <w:b/>
                <w:bCs/>
                <w:sz w:val="24"/>
                <w:szCs w:val="24"/>
              </w:rPr>
              <w:t>органом, регулирующим тарифы</w:t>
            </w:r>
            <w:r>
              <w:rPr>
                <w:sz w:val="24"/>
                <w:szCs w:val="24"/>
              </w:rPr>
              <w:t>.</w:t>
            </w:r>
          </w:p>
        </w:tc>
      </w:tr>
      <w:tr w:rsidR="00000000">
        <w:trPr>
          <w:cantSplit/>
        </w:trPr>
        <w:tc>
          <w:tcPr>
            <w:tcW w:w="2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203A1B">
            <w:pPr>
              <w:pStyle w:val="IASBTableTNR"/>
            </w:pPr>
            <w:r>
              <w:rPr>
                <w:b/>
                <w:bCs/>
                <w:sz w:val="24"/>
                <w:szCs w:val="24"/>
              </w:rPr>
              <w:t>Орган, регулирующий тарифы</w:t>
            </w:r>
          </w:p>
        </w:tc>
        <w:tc>
          <w:tcPr>
            <w:tcW w:w="6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TNR"/>
            </w:pPr>
            <w:r>
              <w:rPr>
                <w:sz w:val="24"/>
                <w:szCs w:val="24"/>
              </w:rPr>
              <w:t xml:space="preserve">Уполномоченный орган, который в соответствии с нормативным правовым актом </w:t>
            </w:r>
            <w:r>
              <w:rPr>
                <w:sz w:val="24"/>
                <w:szCs w:val="24"/>
              </w:rPr>
              <w:t xml:space="preserve">наделен правом устанавливать тариф или диапазон тарифов, являющихся обязательными для организации. </w:t>
            </w:r>
            <w:r>
              <w:rPr>
                <w:b/>
                <w:bCs/>
                <w:sz w:val="24"/>
                <w:szCs w:val="24"/>
              </w:rPr>
              <w:t>Орган, регулирующий тарифы</w:t>
            </w:r>
            <w:r>
              <w:rPr>
                <w:sz w:val="24"/>
                <w:szCs w:val="24"/>
              </w:rPr>
              <w:t xml:space="preserve">, может представлять собой третью сторону либо связанную сторону по отношению к организации, включая собственный руководящий орган </w:t>
            </w:r>
            <w:r>
              <w:rPr>
                <w:sz w:val="24"/>
                <w:szCs w:val="24"/>
              </w:rPr>
              <w:t>организации, если согласно законодательному либо нормативному правовому акту данный орган обязан устанавливать тарифы, как в интересах клиентов, так и с целью обеспечения общей финансовой жизнеспособности организации.</w:t>
            </w:r>
          </w:p>
        </w:tc>
      </w:tr>
      <w:tr w:rsidR="00000000">
        <w:trPr>
          <w:cantSplit/>
        </w:trPr>
        <w:tc>
          <w:tcPr>
            <w:tcW w:w="2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203A1B">
            <w:pPr>
              <w:pStyle w:val="IASBTableTNR"/>
            </w:pPr>
            <w:r>
              <w:rPr>
                <w:b/>
                <w:bCs/>
                <w:sz w:val="24"/>
                <w:szCs w:val="24"/>
              </w:rPr>
              <w:t>Остаток по счету отложенных тарифных разниц</w:t>
            </w:r>
          </w:p>
        </w:tc>
        <w:tc>
          <w:tcPr>
            <w:tcW w:w="6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TNR"/>
            </w:pPr>
            <w:r>
              <w:rPr>
                <w:sz w:val="24"/>
                <w:szCs w:val="24"/>
              </w:rPr>
              <w:t>Сумма, отражающая сальдо по любому счету расходов (или доходов), которая не подлежит признанию в качестве актива или обязательства в соответствии с другими стандартами МСФО, но которая удовлетворяет критериям от</w:t>
            </w:r>
            <w:r>
              <w:rPr>
                <w:sz w:val="24"/>
                <w:szCs w:val="24"/>
              </w:rPr>
              <w:t xml:space="preserve">срочки признания, поскольку она уже включена или, как ожидается, будет включена в расчет тарифа (или тарифов), устанавливаемого(ых) </w:t>
            </w:r>
            <w:r>
              <w:rPr>
                <w:b/>
                <w:bCs/>
                <w:sz w:val="24"/>
                <w:szCs w:val="24"/>
              </w:rPr>
              <w:t>органом, регулирующим тарифы</w:t>
            </w:r>
            <w:r>
              <w:rPr>
                <w:sz w:val="24"/>
                <w:szCs w:val="24"/>
              </w:rPr>
              <w:t>, который(ые) может (могут) взиматься с клиентов.</w:t>
            </w:r>
          </w:p>
        </w:tc>
      </w:tr>
    </w:tbl>
    <w:p w:rsidR="00000000" w:rsidRDefault="00203A1B">
      <w:pPr>
        <w:pStyle w:val="IASBNormalnpara"/>
      </w:pPr>
      <w:r>
        <w:rPr>
          <w:sz w:val="24"/>
          <w:szCs w:val="24"/>
        </w:rPr>
        <w:t> </w:t>
      </w:r>
    </w:p>
    <w:p w:rsidR="00000000" w:rsidRDefault="00203A1B">
      <w:pPr>
        <w:pStyle w:val="IASBSectionTitle1NonInd"/>
      </w:pPr>
      <w:r>
        <w:rPr>
          <w:rFonts w:eastAsia="Times New Roman"/>
          <w:b w:val="0"/>
          <w:bCs w:val="0"/>
        </w:rPr>
        <w:br w:type="page"/>
      </w:r>
      <w:r>
        <w:rPr>
          <w:rFonts w:ascii="Times New Roman" w:hAnsi="Times New Roman" w:cs="Times New Roman"/>
          <w:sz w:val="24"/>
          <w:szCs w:val="24"/>
        </w:rPr>
        <w:t>Приложение B</w:t>
      </w:r>
      <w:r>
        <w:rPr>
          <w:rFonts w:ascii="Times New Roman" w:hAnsi="Times New Roman" w:cs="Times New Roman"/>
          <w:sz w:val="24"/>
          <w:szCs w:val="24"/>
        </w:rPr>
        <w:br/>
        <w:t>Руководство по применению</w:t>
      </w:r>
    </w:p>
    <w:p w:rsidR="00000000" w:rsidRDefault="00203A1B">
      <w:pPr>
        <w:pStyle w:val="IASBNote"/>
      </w:pPr>
      <w:r>
        <w:rPr>
          <w:sz w:val="24"/>
          <w:szCs w:val="24"/>
        </w:rPr>
        <w:t>Данн</w:t>
      </w:r>
      <w:r>
        <w:rPr>
          <w:sz w:val="24"/>
          <w:szCs w:val="24"/>
        </w:rPr>
        <w:t>ое приложение является неотъемлемой частью настоящего МСФО.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Деятельность, подлежащая тарифному регулированию</w:t>
      </w:r>
    </w:p>
    <w:p w:rsidR="00000000" w:rsidRDefault="00203A1B">
      <w:pPr>
        <w:pStyle w:val="IASBNormalnpara"/>
      </w:pPr>
      <w:r>
        <w:rPr>
          <w:sz w:val="24"/>
          <w:szCs w:val="24"/>
        </w:rPr>
        <w:t>B1        Исторически тарифное регулирование применялось в отношении всех видов деятельности организации. Однако в настоящее время вследствие приоб</w:t>
      </w:r>
      <w:r>
        <w:rPr>
          <w:sz w:val="24"/>
          <w:szCs w:val="24"/>
        </w:rPr>
        <w:t>ретений, диверсификации деятельности и сокращения регулирования, тарифное регулирование может применяться исключительно в отношении некоторых видов деятельности организации, и в результате организация осуществляет деятельность как подлежащую, так и не подл</w:t>
      </w:r>
      <w:r>
        <w:rPr>
          <w:sz w:val="24"/>
          <w:szCs w:val="24"/>
        </w:rPr>
        <w:t>ежащую тарифному регулированию. Настоящий стандарт применяется исключительно к деятельности, подлежащей тарифному регулированию, в отношении которой применяются законодательные или иные нормативные правовые ограничения в результате деятельности органа, рег</w:t>
      </w:r>
      <w:r>
        <w:rPr>
          <w:sz w:val="24"/>
          <w:szCs w:val="24"/>
        </w:rPr>
        <w:t xml:space="preserve">улирующего тарифы, вне зависимости от типа организации или отрасли, в которой она осуществляет свою деятельность. 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B2        </w:t>
      </w:r>
      <w:r>
        <w:rPr>
          <w:sz w:val="24"/>
          <w:szCs w:val="24"/>
        </w:rPr>
        <w:t>Организация не должна применять настоящий стандарт в отношении тех видов деятельности, которые являются саморегулируемыми, т. е. видов деятельности, в отношении которых не применяется режим ценообразования, являющийся предметом надзора и/или утверждения ор</w:t>
      </w:r>
      <w:r>
        <w:rPr>
          <w:sz w:val="24"/>
          <w:szCs w:val="24"/>
        </w:rPr>
        <w:t>ганом, регулирующим тарифы. Это не препятствует применению организацией настоящего стандарта в случаях, когда: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собственный орган управления организации или связанная сторона устанавливает тарифы как в интересах клиентов, так и для обеспечения о</w:t>
      </w:r>
      <w:r>
        <w:rPr>
          <w:sz w:val="24"/>
          <w:szCs w:val="24"/>
        </w:rPr>
        <w:t>бщей финансовой жизнеспособности организации в рамках установленного режима ценообразования; и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режим является предметом надзора и/или утверждается органом, уполномоченным на то законодательным или иным нормативным правовым актом.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Продолжение пр</w:t>
      </w:r>
      <w:r>
        <w:rPr>
          <w:rFonts w:ascii="Times New Roman" w:hAnsi="Times New Roman" w:cs="Times New Roman"/>
          <w:sz w:val="24"/>
          <w:szCs w:val="24"/>
        </w:rPr>
        <w:t>именения существующей учетной политики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B3        Для целей настоящего стандарта остаток по счету отложенных тарифных разниц определяется как остаток любого счета расходов (или доходов), который не признавался бы как актив или обязательство согласно другим </w:t>
      </w:r>
      <w:r>
        <w:rPr>
          <w:sz w:val="24"/>
          <w:szCs w:val="24"/>
        </w:rPr>
        <w:t>стандартам МСФО, но который отвечает критериям для переноса в качестве отложенного дохода или расхода на другой период, поскольку он учитывается либо, как ожидается, будет учтен органом, регулирующим тарифы, при установлении тарифа (тарифов), который(ые) м</w:t>
      </w:r>
      <w:r>
        <w:rPr>
          <w:sz w:val="24"/>
          <w:szCs w:val="24"/>
        </w:rPr>
        <w:t>ожет (могут) взиматься с клиентов. Регулируемый(ые) тариф (тарифы) может (могут) не распространяться на некоторые статьи расходов (доходов), поскольку, например, не предполагается, что эти суммы будут приняты органом, регулирующим тарифы, либо поскольку он</w:t>
      </w:r>
      <w:r>
        <w:rPr>
          <w:sz w:val="24"/>
          <w:szCs w:val="24"/>
        </w:rPr>
        <w:t>и не подпадают под тарифное регулирование. Соответственно, такая статья признается в качестве доходов или расходов по мере понесения, если только другой стандарт МСФО не разрешает или не требует ее включения в балансовую стоимость актива или обязательства.</w:t>
      </w:r>
    </w:p>
    <w:p w:rsidR="00000000" w:rsidRDefault="00203A1B">
      <w:pPr>
        <w:pStyle w:val="IASBNormalnpara"/>
      </w:pPr>
      <w:r>
        <w:rPr>
          <w:sz w:val="24"/>
          <w:szCs w:val="24"/>
        </w:rPr>
        <w:t>B4        В некоторых случаях другие стандарты МСФО однозначно запрещают организации признавать в отчете о финансовом положении остатки по счету отложенных тарифных разниц, которые могли признаваться отдельно либо в составе других статей, таких как основн</w:t>
      </w:r>
      <w:r>
        <w:rPr>
          <w:sz w:val="24"/>
          <w:szCs w:val="24"/>
        </w:rPr>
        <w:t>ые средства, в соответствии с учетной политикой согласно ранее применявшимся ОПБУ. Однако в соответствии с пунктом 11 настоящего стандарта организация, принимающая решение о его применении в своей первой финансовой отчетности по МСФО, использует освобожден</w:t>
      </w:r>
      <w:r>
        <w:rPr>
          <w:sz w:val="24"/>
          <w:szCs w:val="24"/>
        </w:rPr>
        <w:t>ие от применения требований пункта 11 МСФО (IAS) 8 с целью продолжения использования учетной политики согласно ранее применявшимся ОПБУ в отношении признания, оценки, обесценения и прекращения признания остатков по счету отложенных тарифных разниц. Такая у</w:t>
      </w:r>
      <w:r>
        <w:rPr>
          <w:sz w:val="24"/>
          <w:szCs w:val="24"/>
        </w:rPr>
        <w:t>четная политика может предусматривать, к примеру, следующую практику: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признание дебетового остатка по счету отложенных тарифных разниц, когда у организации в силу фактических или ожидаемых действий органа, регулирующего тарифы, имеется право ув</w:t>
      </w:r>
      <w:r>
        <w:rPr>
          <w:sz w:val="24"/>
          <w:szCs w:val="24"/>
        </w:rPr>
        <w:t>еличить тарифы в будущих периодах с целью возмещения разрешенных затрат (т. е. затрат, для возмещения которых предназначаются регулируемый(ые) тариф (тарифы));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признание в качестве дебетового или кредитового остатка по счету отложенных тарифных</w:t>
      </w:r>
      <w:r>
        <w:rPr>
          <w:sz w:val="24"/>
          <w:szCs w:val="24"/>
        </w:rPr>
        <w:t xml:space="preserve"> разниц суммы, эквивалентной убытку или прибыли от выбытия или списания как объектов основных средств, так и нематериальных активов, которая, как ожидается, будет возмещена или восстановлена с помощью будущих тарифов;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(c)         признание кредитового оста</w:t>
      </w:r>
      <w:r>
        <w:rPr>
          <w:sz w:val="24"/>
          <w:szCs w:val="24"/>
        </w:rPr>
        <w:t>тка по счету отложенных тарифных разниц, когда в силу фактических или ожидаемых действий органа, регулирующего тарифы, организация обязана уменьшить тарифы в будущих периодах с целью восстановления чрезмерного возмещения разрешенных затрат (т. е. сумм, пре</w:t>
      </w:r>
      <w:r>
        <w:rPr>
          <w:sz w:val="24"/>
          <w:szCs w:val="24"/>
        </w:rPr>
        <w:t>вышающих возмещаемую стоимость, указанную органом, регулирующим тарифы); и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(d)        оценка остатков по счету отложенных тарифных разниц на недисконтированной основе или дисконтированной основе с использованием процентной ставки или ставки дисконтирования</w:t>
      </w:r>
      <w:r>
        <w:rPr>
          <w:sz w:val="24"/>
          <w:szCs w:val="24"/>
        </w:rPr>
        <w:t>, указанной органом, регулирующим тарифы.</w:t>
      </w:r>
    </w:p>
    <w:p w:rsidR="00000000" w:rsidRDefault="00203A1B">
      <w:pPr>
        <w:pStyle w:val="IASBNormalnpara"/>
      </w:pPr>
      <w:r>
        <w:rPr>
          <w:sz w:val="24"/>
          <w:szCs w:val="24"/>
        </w:rPr>
        <w:t>B5        Ниже приведены примеры видов затрат, которые могут рассматриваться в качестве разрешенных органом, регулирующим тарифы, при принятии решений относительно установления тарифов, и которые вследствие этого о</w:t>
      </w:r>
      <w:r>
        <w:rPr>
          <w:sz w:val="24"/>
          <w:szCs w:val="24"/>
        </w:rPr>
        <w:t>рганизация вправе признавать в составе остатков по счету отложенных тарифных разниц: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(i)          отклонения от бюджета, обусловленные изменением объемов или цен закупок;</w:t>
      </w:r>
    </w:p>
    <w:p w:rsidR="00000000" w:rsidRDefault="00203A1B">
      <w:pPr>
        <w:pStyle w:val="IASBNormalnparaL1"/>
      </w:pPr>
      <w:r>
        <w:rPr>
          <w:sz w:val="24"/>
          <w:szCs w:val="24"/>
        </w:rPr>
        <w:t xml:space="preserve">(ii)         </w:t>
      </w:r>
      <w:r>
        <w:rPr>
          <w:sz w:val="24"/>
          <w:szCs w:val="24"/>
        </w:rPr>
        <w:t xml:space="preserve">затраты, связанные с утвержденными инициативами по «зеленой» энергетике (сверх сумм, капитализируемых в составе первоначальной стоимости основных средств в соответствии с МСФО (IAS) 16 </w:t>
      </w:r>
      <w:r>
        <w:rPr>
          <w:i/>
          <w:iCs/>
          <w:sz w:val="24"/>
          <w:szCs w:val="24"/>
        </w:rPr>
        <w:t>«Основные средства»</w:t>
      </w:r>
      <w:r>
        <w:rPr>
          <w:sz w:val="24"/>
          <w:szCs w:val="24"/>
        </w:rPr>
        <w:t>);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(iii)        накладные расходы, которые не являют</w:t>
      </w:r>
      <w:r>
        <w:rPr>
          <w:sz w:val="24"/>
          <w:szCs w:val="24"/>
        </w:rPr>
        <w:t>ся прямыми и считаются капитальными затратами для целей тарифного регулирования (но не могут, в соответствии с МСФО (IAS) 16, включаться в первоначальную стоимость объекта основных средств);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(iv)        затраты на прекращение проекта;</w:t>
      </w:r>
    </w:p>
    <w:p w:rsidR="00000000" w:rsidRDefault="00203A1B">
      <w:pPr>
        <w:pStyle w:val="IASBNormalnparaL1"/>
      </w:pPr>
      <w:r>
        <w:rPr>
          <w:sz w:val="24"/>
          <w:szCs w:val="24"/>
        </w:rPr>
        <w:t xml:space="preserve">(v)         затраты, </w:t>
      </w:r>
      <w:r>
        <w:rPr>
          <w:sz w:val="24"/>
          <w:szCs w:val="24"/>
        </w:rPr>
        <w:t>понесенные в связи со стихийным бедствием; и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(vi)        условный процент (включая разрешенные суммы в отношении финансовых средств, использованных в процессе строительства объекта и обеспечивающих получение организацией отдачи на собственный капитал и заи</w:t>
      </w:r>
      <w:r>
        <w:rPr>
          <w:sz w:val="24"/>
          <w:szCs w:val="24"/>
        </w:rPr>
        <w:t>мствования).</w:t>
      </w:r>
    </w:p>
    <w:p w:rsidR="00000000" w:rsidRDefault="00203A1B">
      <w:pPr>
        <w:pStyle w:val="IASBNormalnpara"/>
      </w:pPr>
      <w:r>
        <w:rPr>
          <w:sz w:val="24"/>
          <w:szCs w:val="24"/>
        </w:rPr>
        <w:t>B6        Остатки по счету отложенных тарифных разниц обычно представляют собой разницы во времени между признанием статей доходов или расходов для целей регулирования и признанием таких статей для целей финансовой отчетности. Когда организаци</w:t>
      </w:r>
      <w:r>
        <w:rPr>
          <w:sz w:val="24"/>
          <w:szCs w:val="24"/>
        </w:rPr>
        <w:t>я изменяет учетную политику при первом применении МСФО или при первоначальном применении нового стандарта МСФО или стандарта в новой редакции, могут возникнуть новые разницы во времени или измениться уже существующие, что приведет к возникновению новых или</w:t>
      </w:r>
      <w:r>
        <w:rPr>
          <w:sz w:val="24"/>
          <w:szCs w:val="24"/>
        </w:rPr>
        <w:t xml:space="preserve"> изменению уже признанных остатков по счету отложенных тарифных разниц. Положения, приведенные в пункте 13, запрещающие организации изменять свою учетную политику с целью начать признание остатков по счету отложенных тарифных разниц, не препятствуют призна</w:t>
      </w:r>
      <w:r>
        <w:rPr>
          <w:sz w:val="24"/>
          <w:szCs w:val="24"/>
        </w:rPr>
        <w:t>нию новых остатков или внесению изменений в существующие остатки по счету отложенных тарифных разниц, которые возникают вследствие прочих изменений учетной политики согласно МСФО. Это обусловлено тем, что признание остатков по счету отложенных тарифных раз</w:t>
      </w:r>
      <w:r>
        <w:rPr>
          <w:sz w:val="24"/>
          <w:szCs w:val="24"/>
        </w:rPr>
        <w:t>ниц в отношении таких разниц во времени будет соответствовать существующей политике признания, применяемой в соответствии с пунктом 11, и не будет представлять собой введение новой учетной политики. Аналогичным образом, пункт 13 не запрещает признавать ост</w:t>
      </w:r>
      <w:r>
        <w:rPr>
          <w:sz w:val="24"/>
          <w:szCs w:val="24"/>
        </w:rPr>
        <w:t>атки по счету отложенных тарифных разниц, обусловленные разницами во времени, которые не существовали непосредственно до даты перехода на МСФО, но соответствуют учетной политике организации, установленной в соответствии с пунктом 11 (например, затраты, пон</w:t>
      </w:r>
      <w:r>
        <w:rPr>
          <w:sz w:val="24"/>
          <w:szCs w:val="24"/>
        </w:rPr>
        <w:t>есенные в связи со стихийным бедствием).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Применимость других стандартов МСФО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B7        Организация, относящаяся к сфере применения требований настоящего стандарта и принявшая решение об их применении, должна продолжить использование своей учетной политики </w:t>
      </w:r>
      <w:r>
        <w:rPr>
          <w:sz w:val="24"/>
          <w:szCs w:val="24"/>
        </w:rPr>
        <w:t>согласно ранее применявшимся ОПБУ в отношении признания, оценки, обесценения и прекращения признания остатков по счету отложенных тарифных разниц. Однако в пунктах 16-17 указывается, что в некоторых ситуациях в отношении остатков по счету отложенных тарифн</w:t>
      </w:r>
      <w:r>
        <w:rPr>
          <w:sz w:val="24"/>
          <w:szCs w:val="24"/>
        </w:rPr>
        <w:t xml:space="preserve">ых разниц, возможно, потребуется применять другие стандарты МСФО для соответствующего отражения таких остатков в финансовой отчетности. В пунктах ниже описана взаимосвязь некоторых других стандартов МСФО с требованиями настоящего стандарта. В частности, в </w:t>
      </w:r>
      <w:r>
        <w:rPr>
          <w:sz w:val="24"/>
          <w:szCs w:val="24"/>
        </w:rPr>
        <w:t xml:space="preserve">пунктах ниже разъясняются конкретные исключения из и освобождения от соблюдения требований других стандартов МСФО, а также дополнительные требования к представлению и раскрытию информации, которые, как ожидается, будут применимы к таким остаткам. 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Применен</w:t>
      </w:r>
      <w:r>
        <w:rPr>
          <w:rFonts w:ascii="Times New Roman" w:hAnsi="Times New Roman" w:cs="Times New Roman"/>
          <w:sz w:val="24"/>
          <w:szCs w:val="24"/>
        </w:rPr>
        <w:t xml:space="preserve">ие МСФО (IAS) 10 </w:t>
      </w:r>
      <w:r>
        <w:rPr>
          <w:rFonts w:ascii="Times New Roman" w:hAnsi="Times New Roman" w:cs="Times New Roman"/>
          <w:i/>
          <w:iCs/>
          <w:sz w:val="24"/>
          <w:szCs w:val="24"/>
        </w:rPr>
        <w:t>«События после окончания отчетного периода»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B8        Организации, возможно, придется использовать расчетные значения и допущения при признании и оценке остатков по счету отложенных тарифных разниц. В отношении событий, которые происходят </w:t>
      </w:r>
      <w:r>
        <w:rPr>
          <w:sz w:val="24"/>
          <w:szCs w:val="24"/>
        </w:rPr>
        <w:t>в период между окончанием отчетного периода и датой одобрения финансовой отчетности к выпуску, организация должна применять МСФО (IAS) 10 для определения необходимости корректировки таких расчетных значений и допущений с учетом таких событий.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Применение МС</w:t>
      </w:r>
      <w:r>
        <w:rPr>
          <w:rFonts w:ascii="Times New Roman" w:hAnsi="Times New Roman" w:cs="Times New Roman"/>
          <w:sz w:val="24"/>
          <w:szCs w:val="24"/>
        </w:rPr>
        <w:t xml:space="preserve">ФО (IAS) 12 </w:t>
      </w:r>
      <w:r>
        <w:rPr>
          <w:rFonts w:ascii="Times New Roman" w:hAnsi="Times New Roman" w:cs="Times New Roman"/>
          <w:i/>
          <w:iCs/>
          <w:sz w:val="24"/>
          <w:szCs w:val="24"/>
        </w:rPr>
        <w:t>«Налоги на прибыль»</w:t>
      </w:r>
    </w:p>
    <w:p w:rsidR="00000000" w:rsidRDefault="00203A1B">
      <w:pPr>
        <w:pStyle w:val="IASBNormalnpara"/>
      </w:pPr>
      <w:r>
        <w:rPr>
          <w:sz w:val="24"/>
          <w:szCs w:val="24"/>
        </w:rPr>
        <w:t>B9        МСФО (IAS) 12 требует, чтобы, за некоторыми ограниченными исключениями, организация признавала отложенное налоговое обязательство и (при определенных условиях) отложенный налоговый актив по всем временным разницам.</w:t>
      </w:r>
      <w:r>
        <w:rPr>
          <w:sz w:val="24"/>
          <w:szCs w:val="24"/>
        </w:rPr>
        <w:t xml:space="preserve"> Организация, осуществляющая деятельность, подлежащую тарифному регулированию, должна применять МСФО (IAS) 12 в отношении всех осуществляемых ею видов деятельности, включая деятельность, подлежащую тарифному регулированию, при определении суммы налога на п</w:t>
      </w:r>
      <w:r>
        <w:rPr>
          <w:sz w:val="24"/>
          <w:szCs w:val="24"/>
        </w:rPr>
        <w:t>рибыль, которую следует признать в отчетности.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B10      В некоторых схемах регулирования тарифов, орган, регулирующий тарифы, разрешает или требует от организации увеличить будущие тарифы с целью возмещения части или всех расходов организации по налогу на </w:t>
      </w:r>
      <w:r>
        <w:rPr>
          <w:sz w:val="24"/>
          <w:szCs w:val="24"/>
        </w:rPr>
        <w:t>прибыль. В таких случаях в соответствии с учетной политикой, установленной согласно пунктам 11-12, организация может в итоге признать в отчете о финансовом положении остаток по счету отложенных тарифных разниц, относящийся к налогу на прибыль. Признание та</w:t>
      </w:r>
      <w:r>
        <w:rPr>
          <w:sz w:val="24"/>
          <w:szCs w:val="24"/>
        </w:rPr>
        <w:t>кого остатка по счету отложенных тарифных разниц, относящегося к налогу на прибыль, может само по себе создать дополнительную временную разницу, в отношении которой будет признана дополнительная сумма отложенного налога.</w:t>
      </w:r>
    </w:p>
    <w:p w:rsidR="00000000" w:rsidRDefault="00203A1B">
      <w:pPr>
        <w:pStyle w:val="IASBNormalnpara"/>
      </w:pPr>
      <w:r>
        <w:rPr>
          <w:sz w:val="24"/>
          <w:szCs w:val="24"/>
        </w:rPr>
        <w:t>B11      Несмотря на требования к п</w:t>
      </w:r>
      <w:r>
        <w:rPr>
          <w:sz w:val="24"/>
          <w:szCs w:val="24"/>
        </w:rPr>
        <w:t>редставлению и раскрытию информации в МСФО (IAS) 12, в случаях, когда организация признает отложенный налоговый актив или отложенное налоговое обязательство в результате признания остатков по счету отложенных тарифных разниц, организация не вправе включать</w:t>
      </w:r>
      <w:r>
        <w:rPr>
          <w:sz w:val="24"/>
          <w:szCs w:val="24"/>
        </w:rPr>
        <w:t xml:space="preserve"> сумму такого отложенного налога в состав итоговых остатков отложенных налоговых активов (обязательств). Вместо этого организация должна представить отложенный налоговый актив (обязательство), который(ое) возникает в результате признания остатков по счету </w:t>
      </w:r>
      <w:r>
        <w:rPr>
          <w:sz w:val="24"/>
          <w:szCs w:val="24"/>
        </w:rPr>
        <w:t>отложенных тарифных разниц, либо: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вместе со статьями отчетности, представляемыми для дебетовых и кредитовых остатков по счету отложенных тарифных разниц; либо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в качестве отдельной статьи отчетности, наряду с соответствующими дебетов</w:t>
      </w:r>
      <w:r>
        <w:rPr>
          <w:sz w:val="24"/>
          <w:szCs w:val="24"/>
        </w:rPr>
        <w:t>ыми и кредитовыми остатками по счету отложенных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>B12      Аналогичным образом, когда организация признает движение отложенного налогового актива (обязательства), возникающего в результате признания остатков по счету отложенных тарифных разн</w:t>
      </w:r>
      <w:r>
        <w:rPr>
          <w:sz w:val="24"/>
          <w:szCs w:val="24"/>
        </w:rPr>
        <w:t>иц, организация не должна включать движение суммы такого отложенного налога в состав статьи «расходы (доходы) по налогу на прибыль», которая представляется в отчете (отчетах) о прибыли или убытке и прочем совокупном доходе в соответствии с МСФО (IAS) 12. В</w:t>
      </w:r>
      <w:r>
        <w:rPr>
          <w:sz w:val="24"/>
          <w:szCs w:val="24"/>
        </w:rPr>
        <w:t>место этого организация должна представить движение отложенного налогового актива (обязательства), возникающего в результате признания остатков по счету отложенных тарифных разниц, либо: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вместе со статьями отчетности, представляемыми в отчете (</w:t>
      </w:r>
      <w:r>
        <w:rPr>
          <w:sz w:val="24"/>
          <w:szCs w:val="24"/>
        </w:rPr>
        <w:t>отчетах) о прибыли или убытке и прочем совокупном доходе в отношении движений остатков по счету отложенных тарифных разниц; либо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в качестве отдельной статьи отчетности, наряду с соответствующими статьями отчетности, представляемыми в отчете (от</w:t>
      </w:r>
      <w:r>
        <w:rPr>
          <w:sz w:val="24"/>
          <w:szCs w:val="24"/>
        </w:rPr>
        <w:t>четах) о прибыли или убытке и прочем совокупном доходе в отношении движений остатков по счету тарифных разниц.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 xml:space="preserve">Применение МСФО (IAS) 33 </w:t>
      </w:r>
      <w:r>
        <w:rPr>
          <w:rFonts w:ascii="Times New Roman" w:hAnsi="Times New Roman" w:cs="Times New Roman"/>
          <w:i/>
          <w:iCs/>
          <w:sz w:val="24"/>
          <w:szCs w:val="24"/>
        </w:rPr>
        <w:t>«Прибыль на акцию»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B13      Пункт 66 МСФО (IAS) 33 требует, чтобы некоторые организации представляли в отчете о прибыли </w:t>
      </w:r>
      <w:r>
        <w:rPr>
          <w:sz w:val="24"/>
          <w:szCs w:val="24"/>
        </w:rPr>
        <w:t>или убытке и прочем совокупном доходе показатели базовой и разводненной прибыли на акцию, рассчитанные по прибыли или убытку от продолжающейся деятельности, а также по прибыли или убытку, приходящимся на держателей обыкновенных акций материнской организаци</w:t>
      </w:r>
      <w:r>
        <w:rPr>
          <w:sz w:val="24"/>
          <w:szCs w:val="24"/>
        </w:rPr>
        <w:t>и. Кроме того, пункт 68 МСФО (IAS) 33 требует, чтобы организация, отражающая прекращенную деятельность, раскрывала информацию о показателях базовой и разводненной прибыли на акцию по прекращенной деятельности либо в отчете о прибыли или убытке и прочем сов</w:t>
      </w:r>
      <w:r>
        <w:rPr>
          <w:sz w:val="24"/>
          <w:szCs w:val="24"/>
        </w:rPr>
        <w:t xml:space="preserve">окупном доходе, либо в примечаниях. </w:t>
      </w:r>
    </w:p>
    <w:p w:rsidR="00000000" w:rsidRDefault="00203A1B">
      <w:pPr>
        <w:pStyle w:val="IASBNormalnpara"/>
      </w:pPr>
      <w:r>
        <w:rPr>
          <w:sz w:val="24"/>
          <w:szCs w:val="24"/>
        </w:rPr>
        <w:t>B14      По каждой сумме прибыли на акцию, представленной в соответствии с МСФО (IAS) 33, организация, применяющая настоящий стандарт, должна представить дополнительные суммы базовой и разводненной прибыли на акцию, рас</w:t>
      </w:r>
      <w:r>
        <w:rPr>
          <w:sz w:val="24"/>
          <w:szCs w:val="24"/>
        </w:rPr>
        <w:t>считываемые аналогичным образом, за исключением того, что такие суммы должны исключать чистое движение остатков по счету отложенных тарифных разниц. В соответствии с требованием в пункте 73 МСФО (IAS) 33, организация должна представить информацию о прибыли</w:t>
      </w:r>
      <w:r>
        <w:rPr>
          <w:sz w:val="24"/>
          <w:szCs w:val="24"/>
        </w:rPr>
        <w:t xml:space="preserve"> на акцию, которая необходима согласно пункту 26 настоящего стандарта, как равную по значимости информации о прибыли на акцию в соответствии с МСФО (IAS) 33 для всех представленных периодов. 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 xml:space="preserve">Применение МСФО (IAS) 36 </w:t>
      </w:r>
      <w:r>
        <w:rPr>
          <w:rFonts w:ascii="Times New Roman" w:hAnsi="Times New Roman" w:cs="Times New Roman"/>
          <w:i/>
          <w:iCs/>
          <w:sz w:val="24"/>
          <w:szCs w:val="24"/>
        </w:rPr>
        <w:t>«Обесценение активов»</w:t>
      </w:r>
    </w:p>
    <w:p w:rsidR="00000000" w:rsidRDefault="00203A1B">
      <w:pPr>
        <w:pStyle w:val="IASBNormalnpara"/>
      </w:pPr>
      <w:r>
        <w:rPr>
          <w:sz w:val="24"/>
          <w:szCs w:val="24"/>
        </w:rPr>
        <w:t>B15      Пункты 1</w:t>
      </w:r>
      <w:r>
        <w:rPr>
          <w:sz w:val="24"/>
          <w:szCs w:val="24"/>
        </w:rPr>
        <w:t xml:space="preserve">1-12 требуют, чтобы организация продолжала использовать учетную политику согласно ранее применявшимся ОПБУ в отношении определения, признания, оценки и восстановления обесценения признанных остатков по счету отложенных тарифных разниц. Следовательно, МСФО </w:t>
      </w:r>
      <w:r>
        <w:rPr>
          <w:sz w:val="24"/>
          <w:szCs w:val="24"/>
        </w:rPr>
        <w:t>(IAS) 36 не применяется в отношении отдельных признанных остатков по счету отложенных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>B16      Однако МСФО (IAS) 36 может требовать проведения организацией теста на обесценение по единице, генерирующей денежные средства, которая включает в</w:t>
      </w:r>
      <w:r>
        <w:rPr>
          <w:sz w:val="24"/>
          <w:szCs w:val="24"/>
        </w:rPr>
        <w:t xml:space="preserve"> себя остатки по счету отложенных тарифных разниц. Такой тест может потребоваться ввиду того, что единица, генерирующая денежные средства, содержит гудвил, либо ввиду выявления одного или нескольких признаков обесценения, описанных в МСФО (IAS) 36, в отнош</w:t>
      </w:r>
      <w:r>
        <w:rPr>
          <w:sz w:val="24"/>
          <w:szCs w:val="24"/>
        </w:rPr>
        <w:t>ении такой единицы, генерирующей денежные средства. Для таких ситуаций пункты 74-79 МСФО (IAS) 36 содержат требования в отношении определения возмещаемой и балансовой стоимости единицы, генерирующей денежные средства. Организация должна применять эти требо</w:t>
      </w:r>
      <w:r>
        <w:rPr>
          <w:sz w:val="24"/>
          <w:szCs w:val="24"/>
        </w:rPr>
        <w:t>вания при определении того, включаются ли признанные остатки по счету отложенных тарифных разниц в состав балансовой стоимости единицы, генерирующей денежные средства, для целей проведения теста на обесценение. Прочие требования МСФО (IAS) 36 должны примен</w:t>
      </w:r>
      <w:r>
        <w:rPr>
          <w:sz w:val="24"/>
          <w:szCs w:val="24"/>
        </w:rPr>
        <w:t>яться в отношении убытка от обесценения, признанного в результате проведения такого теста.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 xml:space="preserve">Применение МСФО (IFRS) 3 </w:t>
      </w:r>
      <w:r>
        <w:rPr>
          <w:rFonts w:ascii="Times New Roman" w:hAnsi="Times New Roman" w:cs="Times New Roman"/>
          <w:i/>
          <w:iCs/>
          <w:sz w:val="24"/>
          <w:szCs w:val="24"/>
        </w:rPr>
        <w:t>«Объединения бизнеса»</w:t>
      </w:r>
    </w:p>
    <w:p w:rsidR="00000000" w:rsidRDefault="00203A1B">
      <w:pPr>
        <w:pStyle w:val="IASBNormalnpara"/>
      </w:pPr>
      <w:r>
        <w:rPr>
          <w:sz w:val="24"/>
          <w:szCs w:val="24"/>
        </w:rPr>
        <w:t>B17      Основной принцип МСФО (IFRS) 3 состоит в том, что покупатель бизнеса признает приобретенные активы и принятые</w:t>
      </w:r>
      <w:r>
        <w:rPr>
          <w:sz w:val="24"/>
          <w:szCs w:val="24"/>
        </w:rPr>
        <w:t xml:space="preserve"> обязательства по их справедливой стоимости на дату приобретения. МСФО (IFRS) 3 предусматривает ограниченные исключения из устанавливаемых им принципов признания и оценки. Пункт В18 настоящего стандарта предусматривает дополнительное исключение.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B18      </w:t>
      </w:r>
      <w:r>
        <w:rPr>
          <w:sz w:val="24"/>
          <w:szCs w:val="24"/>
        </w:rPr>
        <w:t>Пункты 11-12 требуют, чтобы организация продолжала использовать учетную политику согласно ранее применявшимся ОПБУ в отношении признания, оценки, обесценения и прекращения признания остатков по счету отложенных тарифных разниц. Следовательно, если организа</w:t>
      </w:r>
      <w:r>
        <w:rPr>
          <w:sz w:val="24"/>
          <w:szCs w:val="24"/>
        </w:rPr>
        <w:t>ция приобретает бизнес, то в консолидированной финансовой отчетности она должна применить учетную политику, установленную в соответствии с пунктами 11-12 в отношении признания и оценки имеющихся у приобретаемой организации остатков по счету отложенных тари</w:t>
      </w:r>
      <w:r>
        <w:rPr>
          <w:sz w:val="24"/>
          <w:szCs w:val="24"/>
        </w:rPr>
        <w:t>фных разниц на дату приобретения. Имеющиеся у приобретаемой организации остатки по счету отложенных тарифных разниц должны признаваться в консолидированной финансовой отчетности покупателя в соответствии с его учетной политикой, вне зависимости от того, пр</w:t>
      </w:r>
      <w:r>
        <w:rPr>
          <w:sz w:val="24"/>
          <w:szCs w:val="24"/>
        </w:rPr>
        <w:t>изнаются ли такие остатки приобретаемой организацией в ее собственной финансовой отчетности.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 xml:space="preserve">Применение МСФО (IFRS) 5 </w:t>
      </w:r>
      <w:r>
        <w:rPr>
          <w:rFonts w:ascii="Times New Roman" w:hAnsi="Times New Roman" w:cs="Times New Roman"/>
          <w:i/>
          <w:iCs/>
          <w:sz w:val="24"/>
          <w:szCs w:val="24"/>
        </w:rPr>
        <w:t>«Долгосрочные активы, предназначенные для продажи, и прекращенная деятельность»</w:t>
      </w:r>
    </w:p>
    <w:p w:rsidR="00000000" w:rsidRDefault="00203A1B">
      <w:pPr>
        <w:pStyle w:val="IASBNormalnpara"/>
      </w:pPr>
      <w:r>
        <w:rPr>
          <w:sz w:val="24"/>
          <w:szCs w:val="24"/>
        </w:rPr>
        <w:t>B19      Пункты 11-12 требуют, чтобы организация продолжал</w:t>
      </w:r>
      <w:r>
        <w:rPr>
          <w:sz w:val="24"/>
          <w:szCs w:val="24"/>
        </w:rPr>
        <w:t>а использовать ранее применявшуюся учетную политику в отношении признания, оценки, обесценения и прекращения признания остатков по счету отложенных тарифных разниц. Следовательно, требования МСФО (IFRS) 5 к оценке не должны применяться в отношении признанн</w:t>
      </w:r>
      <w:r>
        <w:rPr>
          <w:sz w:val="24"/>
          <w:szCs w:val="24"/>
        </w:rPr>
        <w:t>ых остатков по счету отложенных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>B20      Пункт 33 МСФО (IFRS) 5 требует представлять единую сумму для прекращенной деятельности в отчете (отчетах) о прибыли или убытке и прочем совокупном доходе. Несмотря на требования этого пункта, органи</w:t>
      </w:r>
      <w:r>
        <w:rPr>
          <w:sz w:val="24"/>
          <w:szCs w:val="24"/>
        </w:rPr>
        <w:t>зация, принявшая решение о применении настоящего стандарта и представляющая информацию о прекращенной деятельности, не должна включать движение остатков по счету отложенных тарифных разниц, возникших в результате осуществления деятельности, подлежащей тари</w:t>
      </w:r>
      <w:r>
        <w:rPr>
          <w:sz w:val="24"/>
          <w:szCs w:val="24"/>
        </w:rPr>
        <w:t>фному регулированию, в рамках прекращенной деятельности, в статьи отчетности, требуемые согласно пункту 33 МСФО (IFRS) 5. Вместо этого организация должна представлять движение остатков по счету отложенных тарифных разниц, возникших в результате осуществлен</w:t>
      </w:r>
      <w:r>
        <w:rPr>
          <w:sz w:val="24"/>
          <w:szCs w:val="24"/>
        </w:rPr>
        <w:t>ия деятельности, подлежащей тарифному регулированию, в рамках прекращенной деятельности, либо: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в составе статьи отчетности, представляемой в отношении движений остатков по счету отложенных тарифных разниц, относящихся к прибыли или убытку; либо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в качестве отдельной статьи отчетности, наряду с соответствующей статьей отчетности, представляемой в отношении движений остатков по счету отложенных тарифных разниц, относящихся к прибыли или убытку.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B21      Аналогичным образом, несмотря на </w:t>
      </w:r>
      <w:r>
        <w:rPr>
          <w:sz w:val="24"/>
          <w:szCs w:val="24"/>
        </w:rPr>
        <w:t>требования пункта 38 МСФО (IFRS) 5, организация, представляющая выбывающую группу, не должна включать итоговую сумму дебетовых и кредитовых остатков по счету отложенных тарифных разниц и входящих в состав выбывающей группы, в статьи отчетности, требуемые с</w:t>
      </w:r>
      <w:r>
        <w:rPr>
          <w:sz w:val="24"/>
          <w:szCs w:val="24"/>
        </w:rPr>
        <w:t>огласно пункту 38 МСФО (IFRS) 5. Вместо этого организация должна представлять итоговую сумму дебетовых и кредитовых остатков по счету отложенных тарифных разниц и входящих в состав выбывающей группы, либо: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(a)         в составе статей отчетности, представл</w:t>
      </w:r>
      <w:r>
        <w:rPr>
          <w:sz w:val="24"/>
          <w:szCs w:val="24"/>
        </w:rPr>
        <w:t>яемых в отношении дебетовых и кредитовых остатков по счету отложенных тарифных разниц; либо</w:t>
      </w:r>
    </w:p>
    <w:p w:rsidR="00000000" w:rsidRDefault="00203A1B">
      <w:pPr>
        <w:pStyle w:val="IASBNormalnparaL1"/>
      </w:pPr>
      <w:r>
        <w:rPr>
          <w:sz w:val="24"/>
          <w:szCs w:val="24"/>
        </w:rPr>
        <w:t>(b)         в качестве отдельных статей отчетности, наряду с прочими дебетовыми и кредитовыми остатками по счету отложенных тарифных разниц.</w:t>
      </w:r>
    </w:p>
    <w:p w:rsidR="00000000" w:rsidRDefault="00203A1B">
      <w:pPr>
        <w:pStyle w:val="IASBNormalnpara"/>
      </w:pPr>
      <w:r>
        <w:rPr>
          <w:sz w:val="24"/>
          <w:szCs w:val="24"/>
        </w:rPr>
        <w:t>B22      Если организац</w:t>
      </w:r>
      <w:r>
        <w:rPr>
          <w:sz w:val="24"/>
          <w:szCs w:val="24"/>
        </w:rPr>
        <w:t>ия выбирает вариант представления остатков по счету отложенных тарифных разниц и движений таких остатков, относящихся к выбывающей группе или прекращенной деятельности, в составе соответствующих статей отложенных тарифных разниц, информацию по ним, возможн</w:t>
      </w:r>
      <w:r>
        <w:rPr>
          <w:sz w:val="24"/>
          <w:szCs w:val="24"/>
        </w:rPr>
        <w:t xml:space="preserve">о, придется раскрыть отдельно как часть анализа статей отложенных тарифных разниц, описанного в пункте 33 настоящего стандарта. 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 xml:space="preserve">Применение МСФО (IFRS) 10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«Консолидированная финансовая отчетность» </w:t>
      </w:r>
      <w:r>
        <w:rPr>
          <w:rFonts w:ascii="Times New Roman" w:hAnsi="Times New Roman" w:cs="Times New Roman"/>
          <w:sz w:val="24"/>
          <w:szCs w:val="24"/>
        </w:rPr>
        <w:t xml:space="preserve">и МСФО (IAS) 28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«Инвестиции в ассоциированные и совместные </w:t>
      </w:r>
      <w:r>
        <w:rPr>
          <w:rFonts w:ascii="Times New Roman" w:hAnsi="Times New Roman" w:cs="Times New Roman"/>
          <w:i/>
          <w:iCs/>
          <w:sz w:val="24"/>
          <w:szCs w:val="24"/>
        </w:rPr>
        <w:t>предприятия»</w:t>
      </w:r>
    </w:p>
    <w:p w:rsidR="00000000" w:rsidRDefault="00203A1B">
      <w:pPr>
        <w:pStyle w:val="IASBNormalnpara"/>
      </w:pPr>
      <w:r>
        <w:rPr>
          <w:sz w:val="24"/>
          <w:szCs w:val="24"/>
        </w:rPr>
        <w:t>B23      Согласно пункту 19 МСФО (IFRS) 10 «материнская организация должна подготавливать консолидированную финансовую отчетность с использованием единой учетной политики для аналогичных операций и прочих событий при аналогичных обстоятельства</w:t>
      </w:r>
      <w:r>
        <w:rPr>
          <w:sz w:val="24"/>
          <w:szCs w:val="24"/>
        </w:rPr>
        <w:t>х». Пункт 8 настоящего стандарта требует, чтобы организация, относящаяся к сфере применения настоящего стандарта и принимающая решение о его применении, применяла все требования данного стандарта ко всем остаткам по счету отложенных тарифных разниц, которы</w:t>
      </w:r>
      <w:r>
        <w:rPr>
          <w:sz w:val="24"/>
          <w:szCs w:val="24"/>
        </w:rPr>
        <w:t>е возникают в результате осуществления данной организацией всех видов деятельности, подлежащей тарифному регулированию. Следовательно, если материнская организация признает остатки по счету отложенных тарифных разниц в своей консолидированной финансовой от</w:t>
      </w:r>
      <w:r>
        <w:rPr>
          <w:sz w:val="24"/>
          <w:szCs w:val="24"/>
        </w:rPr>
        <w:t>четности в соответствии с настоящим стандартом, она должна применять одну и ту же учетную политику в отношении остатков по счету отложенных тарифных разниц, которые возникают во всех ее дочерних организациях. Этот принцип применяется вне зависимости от тог</w:t>
      </w:r>
      <w:r>
        <w:rPr>
          <w:sz w:val="24"/>
          <w:szCs w:val="24"/>
        </w:rPr>
        <w:t>о, признают ли дочерние организации такие остатки в своей собственной финансовой отчетности.</w:t>
      </w:r>
    </w:p>
    <w:p w:rsidR="00000000" w:rsidRDefault="00203A1B">
      <w:pPr>
        <w:pStyle w:val="IASBNormalnpara"/>
      </w:pPr>
      <w:r>
        <w:rPr>
          <w:sz w:val="24"/>
          <w:szCs w:val="24"/>
        </w:rPr>
        <w:t>B24      Аналогичным образом, согласно пунктам 35-36 МСФО (IAS) 28 при применении метода долевого участия «финансовая отчетность организации должна составляться на</w:t>
      </w:r>
      <w:r>
        <w:rPr>
          <w:sz w:val="24"/>
          <w:szCs w:val="24"/>
        </w:rPr>
        <w:t xml:space="preserve"> основе использования единой учетной политики в отношении сходных операций и событий, имевших место при аналогичных обстоятельствах». Следовательно, необходимо произвести корректировки с целью приведения учетной политики зависимой организации или совместно</w:t>
      </w:r>
      <w:r>
        <w:rPr>
          <w:sz w:val="24"/>
          <w:szCs w:val="24"/>
        </w:rPr>
        <w:t xml:space="preserve">го предприятия в отношении признания, оценки, обесценения и прекращения признания остатков по счету отложенных тарифных разниц в соответствие с учетной политикой инвестирующей организации при применении ею метода долевого участия. 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Применение МСФО (IFRS) 1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i/>
          <w:iCs/>
          <w:sz w:val="24"/>
          <w:szCs w:val="24"/>
        </w:rPr>
        <w:t>«Раскрытие информации об участии в других предприятиях»</w:t>
      </w:r>
    </w:p>
    <w:p w:rsidR="00000000" w:rsidRDefault="00203A1B">
      <w:pPr>
        <w:pStyle w:val="IASBNormalnpara"/>
      </w:pPr>
      <w:r>
        <w:rPr>
          <w:sz w:val="24"/>
          <w:szCs w:val="24"/>
        </w:rPr>
        <w:t>B25      Пункт 12(e) МСФО (IFRS) 12 требует, чтобы организация раскрывала по каждой из своих дочерних организаций, в которых имеются неконтролирующие доли участия, существенные для отчитывающейся ор</w:t>
      </w:r>
      <w:r>
        <w:rPr>
          <w:sz w:val="24"/>
          <w:szCs w:val="24"/>
        </w:rPr>
        <w:t>ганизации, прибыль или убыток, которые были отнесены на неконтролирующие доли участия дочерней организации в течение отчетного периода. Организация, которая признает остатки по счету отложенных тарифных разниц, в соответствии с настоящим стандартом, должна</w:t>
      </w:r>
      <w:r>
        <w:rPr>
          <w:sz w:val="24"/>
          <w:szCs w:val="24"/>
        </w:rPr>
        <w:t xml:space="preserve"> раскрыть информацию о чистых движениях остатков по счету отложенных тарифных разниц, которые включаются в состав сумм, раскрытие которых требуется пунктом 12(е) МСФО (IFRS) 12.</w:t>
      </w:r>
    </w:p>
    <w:p w:rsidR="00000000" w:rsidRDefault="00203A1B">
      <w:pPr>
        <w:pStyle w:val="IASBNormalnpara"/>
      </w:pPr>
      <w:r>
        <w:rPr>
          <w:sz w:val="24"/>
          <w:szCs w:val="24"/>
        </w:rPr>
        <w:t>B26      Пункт 12(g) МСФО (IFRS) 12 требует, чтобы организация раскрывала по к</w:t>
      </w:r>
      <w:r>
        <w:rPr>
          <w:sz w:val="24"/>
          <w:szCs w:val="24"/>
        </w:rPr>
        <w:t>аждой из своих дочерних организаций, в которых имеются неконтролирующие доли участия, существенные для отчитывающейся организации, обобщенную финансовую информацию о дочерней организации в соответствии с пунктом В10 МСФО (IFRS) 12. Аналогичным образом, пун</w:t>
      </w:r>
      <w:r>
        <w:rPr>
          <w:sz w:val="24"/>
          <w:szCs w:val="24"/>
        </w:rPr>
        <w:t xml:space="preserve">кт 21(b)(ii) МСФО (IFRS) 12 требует, чтобы организация раскрывала по каждому из своих совместных предприятий и зависимых организаций, которые являются существенными для отчитывающейся организации, обобщенную финансовую информацию в соответствии с пунктами </w:t>
      </w:r>
      <w:r>
        <w:rPr>
          <w:sz w:val="24"/>
          <w:szCs w:val="24"/>
        </w:rPr>
        <w:t>B12 и B13 МСФО (IFRS) 12. В пункте В16 МСФО (IFRS) 12 представлена обобщенная финансовая информация, которую организация обязана раскрывать в соответствии с пунктом 21(с) МСФО (IFRS) 12 по всем прочим индивидуально несущественным зависимым организациям и с</w:t>
      </w:r>
      <w:r>
        <w:rPr>
          <w:sz w:val="24"/>
          <w:szCs w:val="24"/>
        </w:rPr>
        <w:t>овместным предприятиям.</w:t>
      </w:r>
    </w:p>
    <w:p w:rsidR="00000000" w:rsidRDefault="00203A1B">
      <w:pPr>
        <w:pStyle w:val="IASBNormalnpara"/>
      </w:pPr>
      <w:r>
        <w:rPr>
          <w:sz w:val="24"/>
          <w:szCs w:val="24"/>
        </w:rPr>
        <w:t>B27      Помимо информации, указанной в пунктах 12, 21, B10, B12-B13 и B16 МСФО (IFRS) 12, организация, которая признает остатки по счету отложенных тарифных разниц в соответствии с настоящим стандартом, должна также раскрыть информ</w:t>
      </w:r>
      <w:r>
        <w:rPr>
          <w:sz w:val="24"/>
          <w:szCs w:val="24"/>
        </w:rPr>
        <w:t>ацию об итоговом дебетовом остатке по счету отложенных тарифных разниц, итоговом кредитовом остатке по счету отложенных тарифных разниц, а также информацию о чистых движениях таких остатков, с выделением сумм, признаваемых в составе прибыли или убытка, и с</w:t>
      </w:r>
      <w:r>
        <w:rPr>
          <w:sz w:val="24"/>
          <w:szCs w:val="24"/>
        </w:rPr>
        <w:t>умм, признаваемых в составе прочего совокупного дохода, по каждой организации, для которой требуется раскрытие такой информации согласно МСФО (IFRS) 12.</w:t>
      </w:r>
    </w:p>
    <w:p w:rsidR="00000000" w:rsidRDefault="00203A1B">
      <w:pPr>
        <w:pStyle w:val="IASBNormalnpara"/>
      </w:pPr>
      <w:r>
        <w:rPr>
          <w:sz w:val="24"/>
          <w:szCs w:val="24"/>
        </w:rPr>
        <w:t>B28      В пункте 19 МСФО (IFRS) 12 указана информация, которую организация должна раскрывать, при приз</w:t>
      </w:r>
      <w:r>
        <w:rPr>
          <w:sz w:val="24"/>
          <w:szCs w:val="24"/>
        </w:rPr>
        <w:t>нании прибыли или убытка при потере контроля над дочерней организацией, которые рассчитываются в соответствии с пунктом 25 МСФО (IFRS) 10. В дополнение к информации, требуемой согласно пункту 19 МСФО (IFRS) 12, организация, принявшая решение о применении н</w:t>
      </w:r>
      <w:r>
        <w:rPr>
          <w:sz w:val="24"/>
          <w:szCs w:val="24"/>
        </w:rPr>
        <w:t>астоящего стандарта, должна раскрыть информацию о части прибыли или убытка, относящейся к прекращению признания остатков по счету отложенных тарифных разниц в бывшей дочерней организации на дату потери контроля.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Приложение C</w:t>
      </w:r>
      <w:r>
        <w:rPr>
          <w:rFonts w:ascii="Times New Roman" w:hAnsi="Times New Roman" w:cs="Times New Roman"/>
          <w:sz w:val="24"/>
          <w:szCs w:val="24"/>
        </w:rPr>
        <w:br/>
        <w:t>Дата вступления в силу и перехо</w:t>
      </w:r>
      <w:r>
        <w:rPr>
          <w:rFonts w:ascii="Times New Roman" w:hAnsi="Times New Roman" w:cs="Times New Roman"/>
          <w:sz w:val="24"/>
          <w:szCs w:val="24"/>
        </w:rPr>
        <w:t>д к новому порядку учета</w:t>
      </w:r>
    </w:p>
    <w:p w:rsidR="00000000" w:rsidRDefault="00203A1B">
      <w:pPr>
        <w:pStyle w:val="IASBNote"/>
      </w:pPr>
      <w:r>
        <w:rPr>
          <w:sz w:val="24"/>
          <w:szCs w:val="24"/>
        </w:rPr>
        <w:t>Данное приложение является неотъемлемой частью настоящего стандарта.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Дата вступления в силу и переход к новому порядку учета</w:t>
      </w:r>
    </w:p>
    <w:p w:rsidR="00000000" w:rsidRDefault="00203A1B">
      <w:pPr>
        <w:pStyle w:val="IASBSectionTitle2Ind"/>
      </w:pPr>
      <w:r>
        <w:rPr>
          <w:rFonts w:ascii="Times New Roman" w:hAnsi="Times New Roman" w:cs="Times New Roman"/>
          <w:sz w:val="24"/>
          <w:szCs w:val="24"/>
        </w:rPr>
        <w:t>Дата вступления в силу</w:t>
      </w:r>
    </w:p>
    <w:p w:rsidR="00000000" w:rsidRDefault="00203A1B">
      <w:pPr>
        <w:pStyle w:val="IASBNormalnpara"/>
      </w:pPr>
      <w:r>
        <w:rPr>
          <w:sz w:val="24"/>
          <w:szCs w:val="24"/>
        </w:rPr>
        <w:t>C1        Организация должна применять настоящий стандарт, если ее первая годовая ф</w:t>
      </w:r>
      <w:r>
        <w:rPr>
          <w:sz w:val="24"/>
          <w:szCs w:val="24"/>
        </w:rPr>
        <w:t>инансовая отчетность по МСФО подготавливается за период, начинающийся 1 января 2016 г. или после этой даты. Допускается досрочное применение. Если организация применяет настоящий стандарт в своей первой финансовой отчетности по МСФО за более ранний период,</w:t>
      </w:r>
      <w:r>
        <w:rPr>
          <w:sz w:val="24"/>
          <w:szCs w:val="24"/>
        </w:rPr>
        <w:t xml:space="preserve"> она должна раскрыть этот факт.  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>Приложение D</w:t>
      </w:r>
      <w:r>
        <w:rPr>
          <w:rFonts w:ascii="Times New Roman" w:hAnsi="Times New Roman" w:cs="Times New Roman"/>
          <w:sz w:val="24"/>
          <w:szCs w:val="24"/>
        </w:rPr>
        <w:br/>
        <w:t xml:space="preserve">Сопутствующие поправки к МСФО (IFRS) 1 </w:t>
      </w:r>
      <w:r>
        <w:rPr>
          <w:rFonts w:ascii="Times New Roman" w:hAnsi="Times New Roman" w:cs="Times New Roman"/>
          <w:i/>
          <w:iCs/>
          <w:sz w:val="24"/>
          <w:szCs w:val="24"/>
        </w:rPr>
        <w:t>«Первое применение Международных стандартов финансовой отчетности»</w:t>
      </w:r>
    </w:p>
    <w:p w:rsidR="00000000" w:rsidRDefault="00203A1B">
      <w:pPr>
        <w:pStyle w:val="IASBNote"/>
      </w:pPr>
      <w:r>
        <w:rPr>
          <w:sz w:val="24"/>
          <w:szCs w:val="24"/>
        </w:rPr>
        <w:t xml:space="preserve">Настоящее приложение содержит поправку к МСФО (IFRS) 1 </w:t>
      </w:r>
      <w:r>
        <w:rPr>
          <w:i w:val="0"/>
          <w:iCs w:val="0"/>
          <w:sz w:val="24"/>
          <w:szCs w:val="24"/>
        </w:rPr>
        <w:t>«Первое применение Международных стандартов фина</w:t>
      </w:r>
      <w:r>
        <w:rPr>
          <w:i w:val="0"/>
          <w:iCs w:val="0"/>
          <w:sz w:val="24"/>
          <w:szCs w:val="24"/>
        </w:rPr>
        <w:t>нсовой отчетности»</w:t>
      </w:r>
      <w:r>
        <w:rPr>
          <w:sz w:val="24"/>
          <w:szCs w:val="24"/>
        </w:rPr>
        <w:t xml:space="preserve">, являющуюся следствием публикации Советом по МСФО стандарта МСФО (IFRS) 14 </w:t>
      </w:r>
      <w:r>
        <w:rPr>
          <w:i w:val="0"/>
          <w:iCs w:val="0"/>
          <w:sz w:val="24"/>
          <w:szCs w:val="24"/>
        </w:rPr>
        <w:t>«Счета отложенных тарифных разниц»</w:t>
      </w:r>
      <w:r>
        <w:rPr>
          <w:sz w:val="24"/>
          <w:szCs w:val="24"/>
        </w:rPr>
        <w:t>. Новый текст в измененном пункте подчеркнут, а удаленный текст - зачеркнут. Организация должна применять настоящую поправку при</w:t>
      </w:r>
      <w:r>
        <w:rPr>
          <w:sz w:val="24"/>
          <w:szCs w:val="24"/>
        </w:rPr>
        <w:t xml:space="preserve"> применении МСФО (IFRS) 1. </w:t>
      </w:r>
    </w:p>
    <w:p w:rsidR="00000000" w:rsidRDefault="00203A1B">
      <w:pPr>
        <w:pStyle w:val="IASBSectionTitle1NonInd"/>
      </w:pPr>
      <w:r>
        <w:rPr>
          <w:rFonts w:ascii="Times New Roman" w:hAnsi="Times New Roman" w:cs="Times New Roman"/>
          <w:sz w:val="24"/>
          <w:szCs w:val="24"/>
        </w:rPr>
        <w:t xml:space="preserve">МСФО (IFRS) 1 </w:t>
      </w:r>
      <w:r>
        <w:rPr>
          <w:rFonts w:ascii="Times New Roman" w:hAnsi="Times New Roman" w:cs="Times New Roman"/>
          <w:i/>
          <w:iCs/>
          <w:sz w:val="24"/>
          <w:szCs w:val="24"/>
        </w:rPr>
        <w:t>«Первое применение Международных стандартов финансовой отчетности»</w:t>
      </w:r>
    </w:p>
    <w:p w:rsidR="00000000" w:rsidRDefault="00203A1B">
      <w:pPr>
        <w:pStyle w:val="IASBNormalnpara"/>
      </w:pPr>
      <w:r>
        <w:rPr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000000">
        <w:trPr>
          <w:cantSplit/>
        </w:trPr>
        <w:tc>
          <w:tcPr>
            <w:tcW w:w="9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Aria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 пункт 39V.</w:t>
            </w:r>
          </w:p>
        </w:tc>
      </w:tr>
    </w:tbl>
    <w:p w:rsidR="00000000" w:rsidRDefault="00203A1B">
      <w:pPr>
        <w:pStyle w:val="IASBNormalnpara"/>
      </w:pPr>
      <w:r>
        <w:rPr>
          <w:sz w:val="24"/>
          <w:szCs w:val="24"/>
        </w:rPr>
        <w:t> 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39V      Посредством МСФО (IFRS) 14 </w:t>
      </w:r>
      <w:r>
        <w:rPr>
          <w:i/>
          <w:iCs/>
          <w:sz w:val="24"/>
          <w:szCs w:val="24"/>
        </w:rPr>
        <w:t>«Счета отложенных тарифных разниц»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выпущенного в январе 2014 г., внесены изменения в пункт D8B. Организация должна применять настоящую поправку в отношении годовых периодов, начинающихся 1 января 2016 г. или после этой даты. Допускается досрочное применение. Если организация применяет МСФО </w:t>
      </w:r>
      <w:r>
        <w:rPr>
          <w:sz w:val="24"/>
          <w:szCs w:val="24"/>
        </w:rPr>
        <w:t>(IFRS) 14 в отношении более раннего периода, настоящая поправка должна применяться в отношении такого более раннего периода.</w:t>
      </w:r>
    </w:p>
    <w:p w:rsidR="00000000" w:rsidRDefault="00203A1B">
      <w:pPr>
        <w:pStyle w:val="IASBNormalnpara"/>
      </w:pPr>
      <w:r>
        <w:rPr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000000">
        <w:trPr>
          <w:cantSplit/>
        </w:trPr>
        <w:tc>
          <w:tcPr>
            <w:tcW w:w="9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203A1B">
            <w:pPr>
              <w:pStyle w:val="IASBTableAria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приложении D внесены изменения в пункт D8B. Новый текст подчеркнут, удаленный текст - зачеркнут.</w:t>
            </w:r>
          </w:p>
        </w:tc>
      </w:tr>
    </w:tbl>
    <w:p w:rsidR="00000000" w:rsidRDefault="00203A1B">
      <w:pPr>
        <w:pStyle w:val="IASBNormalnpara"/>
      </w:pPr>
      <w:r>
        <w:rPr>
          <w:sz w:val="24"/>
          <w:szCs w:val="24"/>
        </w:rPr>
        <w:t> </w:t>
      </w:r>
    </w:p>
    <w:p w:rsidR="00000000" w:rsidRDefault="00203A1B">
      <w:pPr>
        <w:pStyle w:val="IASBNormalnpara"/>
      </w:pPr>
      <w:r>
        <w:rPr>
          <w:sz w:val="24"/>
          <w:szCs w:val="24"/>
        </w:rPr>
        <w:t xml:space="preserve">D8B     </w:t>
      </w:r>
      <w:r>
        <w:rPr>
          <w:sz w:val="24"/>
          <w:szCs w:val="24"/>
        </w:rPr>
        <w:t>Некоторые предприятия владеют объектами основных средств или нематериальных активов, которые используются или ранее использовались в операциях, подлежащих тарифному регулированию. Балансовая стоимость таких объектов может включать суммы, которые были опред</w:t>
      </w:r>
      <w:r>
        <w:rPr>
          <w:sz w:val="24"/>
          <w:szCs w:val="24"/>
        </w:rPr>
        <w:t>елены в соответствии с предыдущими ОПБУ, но не удовлетворяют критериям капитализации в соответствии с МСФО. В таком случае предприятие, впервые применяющее МСФО, может принять решение об использовании балансовой стоимости объекта согласно предыдущим ОПБУ н</w:t>
      </w:r>
      <w:r>
        <w:rPr>
          <w:sz w:val="24"/>
          <w:szCs w:val="24"/>
        </w:rPr>
        <w:t>а дату перехода на МСФО в качестве условной первоначальной стоимости. Если предприятие применяет данное исключение к какому-либо объекту, оно не обязано применять указанное исключение ко всем объектам. На дату перехода на МСФО предприятие должно протестиро</w:t>
      </w:r>
      <w:r>
        <w:rPr>
          <w:sz w:val="24"/>
          <w:szCs w:val="24"/>
        </w:rPr>
        <w:t xml:space="preserve">вать на обесценение в соответствии с МСФО (IAS) 36 каждый объект, в отношении которого используется данное исключение. В контексте данного пункта операции являются операциями, подлежащими тарифному регулированию, если </w:t>
      </w:r>
      <w:r>
        <w:rPr>
          <w:sz w:val="24"/>
          <w:szCs w:val="24"/>
          <w:u w:val="single"/>
        </w:rPr>
        <w:t xml:space="preserve">в отношении них используется политика </w:t>
      </w:r>
      <w:r>
        <w:rPr>
          <w:sz w:val="24"/>
          <w:szCs w:val="24"/>
          <w:u w:val="single"/>
        </w:rPr>
        <w:t xml:space="preserve">установления цен, которые могут выставляться клиентам за товары или услуги, и такая политика является предметом надзора и/или утверждения органом, регулирующим тарифы (согласно определению этого термина в МСФО (IFRS) 14 </w:t>
      </w:r>
      <w:r>
        <w:rPr>
          <w:i/>
          <w:iCs/>
          <w:sz w:val="24"/>
          <w:szCs w:val="24"/>
          <w:u w:val="single"/>
        </w:rPr>
        <w:t>«Счета отложенных тарифных разниц»</w:t>
      </w:r>
      <w:r>
        <w:rPr>
          <w:sz w:val="24"/>
          <w:szCs w:val="24"/>
          <w:u w:val="single"/>
        </w:rPr>
        <w:t>).</w:t>
      </w:r>
      <w:r>
        <w:rPr>
          <w:sz w:val="24"/>
          <w:szCs w:val="24"/>
        </w:rPr>
        <w:t xml:space="preserve"> </w:t>
      </w:r>
      <w:r>
        <w:rPr>
          <w:strike/>
          <w:sz w:val="24"/>
          <w:szCs w:val="24"/>
        </w:rPr>
        <w:t>они поставляют товары или услуги клиентам по ценам (то есть тарифам), установленным уполномоченным органом, которые вправе устанавливать тарифы, которые имеют обязательную силу для клиентов и разработаны с целью возмещения определенных затрат, которые пон</w:t>
      </w:r>
      <w:r>
        <w:rPr>
          <w:strike/>
          <w:sz w:val="24"/>
          <w:szCs w:val="24"/>
        </w:rPr>
        <w:t>есло предприятие при предоставлении регулируемых товаров или услуг, а также получения номинального дохода. Номинальный доход может быть определен как минимальный уровень дохода или диапазон и не обязательно является фиксированным или гарантированным доходо</w:t>
      </w:r>
      <w:r>
        <w:rPr>
          <w:strike/>
          <w:sz w:val="24"/>
          <w:szCs w:val="24"/>
        </w:rPr>
        <w:t>м.</w:t>
      </w:r>
      <w:r>
        <w:rPr>
          <w:sz w:val="24"/>
          <w:szCs w:val="24"/>
        </w:rPr>
        <w:t xml:space="preserve">  </w:t>
      </w:r>
    </w:p>
    <w:p w:rsidR="00000000" w:rsidRDefault="00203A1B">
      <w:pPr>
        <w:autoSpaceDE w:val="0"/>
        <w:autoSpaceDN w:val="0"/>
        <w:ind w:left="851" w:hanging="709"/>
        <w:jc w:val="both"/>
      </w:pPr>
      <w:r>
        <w:t> </w:t>
      </w:r>
    </w:p>
    <w:p w:rsidR="00000000" w:rsidRDefault="00203A1B">
      <w:pPr>
        <w:spacing w:line="276" w:lineRule="auto"/>
      </w:pPr>
      <w:r>
        <w:rPr>
          <w:color w:val="auto"/>
        </w:rPr>
        <w:br w:type="textWrapping" w:clear="all"/>
      </w:r>
    </w:p>
    <w:p w:rsidR="00000000" w:rsidRDefault="00203A1B">
      <w:pPr>
        <w:spacing w:line="276" w:lineRule="auto"/>
        <w:divId w:val="1646465577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>
          <v:rect id="_x0000_i1025" style="width:.05pt;height:.75pt" o:hrpct="330" o:hrstd="t" o:hr="t" fillcolor="#a0a0a0" stroked="f"/>
        </w:pict>
      </w:r>
    </w:p>
    <w:bookmarkStart w:id="2" w:name="_ftn1"/>
    <w:bookmarkEnd w:id="2"/>
    <w:p w:rsidR="00000000" w:rsidRDefault="00203A1B">
      <w:pPr>
        <w:ind w:left="709" w:hanging="709"/>
      </w:pPr>
      <w:r>
        <w:fldChar w:fldCharType="begin"/>
      </w:r>
      <w:r>
        <w:instrText xml:space="preserve"> </w:instrText>
      </w:r>
      <w:r>
        <w:instrText>HYPERLINK "" \l "_ftnref1" \o ""</w:instrText>
      </w:r>
      <w:r>
        <w:instrText xml:space="preserve"> </w:instrText>
      </w:r>
      <w:r>
        <w:fldChar w:fldCharType="separate"/>
      </w:r>
      <w:r>
        <w:rPr>
          <w:rStyle w:val="a3"/>
          <w:u w:val="single"/>
        </w:rPr>
        <w:t>[1]</w:t>
      </w:r>
      <w:r>
        <w:fldChar w:fldCharType="end"/>
      </w:r>
      <w:r>
        <w:t xml:space="preserve">           </w:t>
      </w:r>
      <w:r>
        <w:rPr>
          <w:rStyle w:val="a3"/>
          <w:sz w:val="16"/>
          <w:szCs w:val="16"/>
        </w:rPr>
        <w:t xml:space="preserve">В сентябре 2010 г. Совет по МСФО заменил </w:t>
      </w:r>
      <w:r>
        <w:rPr>
          <w:rStyle w:val="a3"/>
          <w:i/>
          <w:iCs/>
          <w:sz w:val="16"/>
          <w:szCs w:val="16"/>
        </w:rPr>
        <w:t>«Концепцию подготовки и представления финансовой отчетности»</w:t>
      </w:r>
      <w:r>
        <w:rPr>
          <w:rStyle w:val="a3"/>
          <w:sz w:val="16"/>
          <w:szCs w:val="16"/>
        </w:rPr>
        <w:t xml:space="preserve"> на </w:t>
      </w:r>
      <w:r>
        <w:rPr>
          <w:rStyle w:val="a3"/>
          <w:i/>
          <w:iCs/>
          <w:sz w:val="16"/>
          <w:szCs w:val="16"/>
        </w:rPr>
        <w:t>«Концептуальные основы финансовой отчетности»</w:t>
      </w:r>
      <w:r>
        <w:rPr>
          <w:rStyle w:val="a3"/>
          <w:sz w:val="16"/>
          <w:szCs w:val="16"/>
        </w:rPr>
        <w:t xml:space="preserve">. Понятие «правдивое представление» заключает в себе основные характеристики, которые в прежней Концепции </w:t>
      </w:r>
      <w:r>
        <w:rPr>
          <w:rStyle w:val="a3"/>
          <w:sz w:val="16"/>
          <w:szCs w:val="16"/>
        </w:rPr>
        <w:t>назывались «надежностью». Требование пункт</w:t>
      </w:r>
      <w:r>
        <w:rPr>
          <w:sz w:val="16"/>
          <w:szCs w:val="16"/>
        </w:rPr>
        <w:t>а</w:t>
      </w:r>
      <w:r>
        <w:rPr>
          <w:rStyle w:val="a3"/>
          <w:sz w:val="16"/>
          <w:szCs w:val="16"/>
        </w:rPr>
        <w:t xml:space="preserve"> 13 настоящего стандарта основывается на требованиях МСФО (IAS) 8, в котором продолжает использоваться термин «надежный».</w:t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A1B" w:rsidRDefault="00203A1B" w:rsidP="00203A1B">
      <w:r>
        <w:separator/>
      </w:r>
    </w:p>
  </w:endnote>
  <w:endnote w:type="continuationSeparator" w:id="0">
    <w:p w:rsidR="00203A1B" w:rsidRDefault="00203A1B" w:rsidP="0020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1B" w:rsidRDefault="00203A1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1B" w:rsidRDefault="00203A1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1B" w:rsidRDefault="00203A1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A1B" w:rsidRDefault="00203A1B" w:rsidP="00203A1B">
      <w:r>
        <w:separator/>
      </w:r>
    </w:p>
  </w:footnote>
  <w:footnote w:type="continuationSeparator" w:id="0">
    <w:p w:rsidR="00203A1B" w:rsidRDefault="00203A1B" w:rsidP="00203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1B" w:rsidRDefault="00203A1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1B" w:rsidRDefault="00203A1B" w:rsidP="00203A1B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203A1B" w:rsidRDefault="00203A1B" w:rsidP="00203A1B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Международный стандарт финансовой отчетности (IFRS) 14 «Счета отложенных тарифных разниц» (2014 год)</w:t>
    </w:r>
  </w:p>
  <w:p w:rsidR="00203A1B" w:rsidRPr="00203A1B" w:rsidRDefault="00203A1B" w:rsidP="00203A1B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01.01.2016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1B" w:rsidRDefault="00203A1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3A1B"/>
    <w:rsid w:val="0020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8">
    <w:name w:val="s8"/>
    <w:basedOn w:val="a"/>
    <w:rPr>
      <w:color w:val="333399"/>
    </w:rPr>
  </w:style>
  <w:style w:type="paragraph" w:customStyle="1" w:styleId="IASBNormalnpara">
    <w:name w:val="IASB Normal npara"/>
    <w:basedOn w:val="a"/>
    <w:pPr>
      <w:spacing w:before="100"/>
      <w:ind w:left="782" w:hanging="782"/>
      <w:jc w:val="both"/>
    </w:pPr>
    <w:rPr>
      <w:color w:val="auto"/>
      <w:sz w:val="19"/>
      <w:szCs w:val="19"/>
    </w:rPr>
  </w:style>
  <w:style w:type="paragraph" w:customStyle="1" w:styleId="IASBSectionTitle1NonInd">
    <w:name w:val="IASB Section Title 1 NonInd"/>
    <w:basedOn w:val="a"/>
    <w:pPr>
      <w:keepNext/>
      <w:spacing w:before="400" w:after="200"/>
    </w:pPr>
    <w:rPr>
      <w:rFonts w:ascii="Arial" w:hAnsi="Arial" w:cs="Arial"/>
      <w:b/>
      <w:bCs/>
      <w:color w:val="auto"/>
      <w:sz w:val="26"/>
      <w:szCs w:val="26"/>
    </w:rPr>
  </w:style>
  <w:style w:type="paragraph" w:customStyle="1" w:styleId="IASBSectionTitle2Ind">
    <w:name w:val="IASB Section Title 2 Ind"/>
    <w:basedOn w:val="a"/>
    <w:pPr>
      <w:keepNext/>
      <w:spacing w:before="240" w:after="200"/>
      <w:ind w:left="782"/>
    </w:pPr>
    <w:rPr>
      <w:rFonts w:ascii="Arial" w:hAnsi="Arial" w:cs="Arial"/>
      <w:b/>
      <w:bCs/>
      <w:color w:val="auto"/>
      <w:sz w:val="26"/>
      <w:szCs w:val="26"/>
    </w:rPr>
  </w:style>
  <w:style w:type="paragraph" w:customStyle="1" w:styleId="IASBNormalnparaL1">
    <w:name w:val="IASB Normal nparaL1"/>
    <w:basedOn w:val="a"/>
    <w:pPr>
      <w:spacing w:before="100"/>
      <w:ind w:left="1564" w:hanging="782"/>
      <w:jc w:val="both"/>
    </w:pPr>
    <w:rPr>
      <w:color w:val="auto"/>
      <w:sz w:val="19"/>
      <w:szCs w:val="19"/>
    </w:rPr>
  </w:style>
  <w:style w:type="paragraph" w:customStyle="1" w:styleId="IASBNote">
    <w:name w:val="IASB Note"/>
    <w:basedOn w:val="a"/>
    <w:pPr>
      <w:spacing w:before="100" w:after="100"/>
      <w:jc w:val="both"/>
    </w:pPr>
    <w:rPr>
      <w:i/>
      <w:iCs/>
      <w:color w:val="auto"/>
      <w:sz w:val="19"/>
      <w:szCs w:val="19"/>
    </w:rPr>
  </w:style>
  <w:style w:type="paragraph" w:customStyle="1" w:styleId="IASBNormalnparaL2">
    <w:name w:val="IASB Normal nparaL2"/>
    <w:basedOn w:val="a"/>
    <w:pPr>
      <w:spacing w:before="100"/>
      <w:ind w:left="2347" w:hanging="782"/>
      <w:jc w:val="both"/>
    </w:pPr>
    <w:rPr>
      <w:color w:val="auto"/>
      <w:sz w:val="19"/>
      <w:szCs w:val="19"/>
    </w:rPr>
  </w:style>
  <w:style w:type="paragraph" w:customStyle="1" w:styleId="IASBTableTNR">
    <w:name w:val="IASB Table TNR"/>
    <w:basedOn w:val="a"/>
    <w:pPr>
      <w:spacing w:before="120"/>
    </w:pPr>
    <w:rPr>
      <w:color w:val="auto"/>
      <w:sz w:val="19"/>
      <w:szCs w:val="19"/>
    </w:rPr>
  </w:style>
  <w:style w:type="paragraph" w:customStyle="1" w:styleId="IASBTableArial">
    <w:name w:val="IASB Table Arial"/>
    <w:basedOn w:val="a"/>
    <w:pPr>
      <w:spacing w:before="120"/>
    </w:pPr>
    <w:rPr>
      <w:rFonts w:ascii="Arial" w:hAnsi="Arial" w:cs="Arial"/>
      <w:color w:val="auto"/>
      <w:sz w:val="18"/>
      <w:szCs w:val="18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203A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03A1B"/>
    <w:rPr>
      <w:rFonts w:eastAsiaTheme="minorEastAsia"/>
      <w:color w:val="00000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03A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03A1B"/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8">
    <w:name w:val="s8"/>
    <w:basedOn w:val="a"/>
    <w:rPr>
      <w:color w:val="333399"/>
    </w:rPr>
  </w:style>
  <w:style w:type="paragraph" w:customStyle="1" w:styleId="IASBNormalnpara">
    <w:name w:val="IASB Normal npara"/>
    <w:basedOn w:val="a"/>
    <w:pPr>
      <w:spacing w:before="100"/>
      <w:ind w:left="782" w:hanging="782"/>
      <w:jc w:val="both"/>
    </w:pPr>
    <w:rPr>
      <w:color w:val="auto"/>
      <w:sz w:val="19"/>
      <w:szCs w:val="19"/>
    </w:rPr>
  </w:style>
  <w:style w:type="paragraph" w:customStyle="1" w:styleId="IASBSectionTitle1NonInd">
    <w:name w:val="IASB Section Title 1 NonInd"/>
    <w:basedOn w:val="a"/>
    <w:pPr>
      <w:keepNext/>
      <w:spacing w:before="400" w:after="200"/>
    </w:pPr>
    <w:rPr>
      <w:rFonts w:ascii="Arial" w:hAnsi="Arial" w:cs="Arial"/>
      <w:b/>
      <w:bCs/>
      <w:color w:val="auto"/>
      <w:sz w:val="26"/>
      <w:szCs w:val="26"/>
    </w:rPr>
  </w:style>
  <w:style w:type="paragraph" w:customStyle="1" w:styleId="IASBSectionTitle2Ind">
    <w:name w:val="IASB Section Title 2 Ind"/>
    <w:basedOn w:val="a"/>
    <w:pPr>
      <w:keepNext/>
      <w:spacing w:before="240" w:after="200"/>
      <w:ind w:left="782"/>
    </w:pPr>
    <w:rPr>
      <w:rFonts w:ascii="Arial" w:hAnsi="Arial" w:cs="Arial"/>
      <w:b/>
      <w:bCs/>
      <w:color w:val="auto"/>
      <w:sz w:val="26"/>
      <w:szCs w:val="26"/>
    </w:rPr>
  </w:style>
  <w:style w:type="paragraph" w:customStyle="1" w:styleId="IASBNormalnparaL1">
    <w:name w:val="IASB Normal nparaL1"/>
    <w:basedOn w:val="a"/>
    <w:pPr>
      <w:spacing w:before="100"/>
      <w:ind w:left="1564" w:hanging="782"/>
      <w:jc w:val="both"/>
    </w:pPr>
    <w:rPr>
      <w:color w:val="auto"/>
      <w:sz w:val="19"/>
      <w:szCs w:val="19"/>
    </w:rPr>
  </w:style>
  <w:style w:type="paragraph" w:customStyle="1" w:styleId="IASBNote">
    <w:name w:val="IASB Note"/>
    <w:basedOn w:val="a"/>
    <w:pPr>
      <w:spacing w:before="100" w:after="100"/>
      <w:jc w:val="both"/>
    </w:pPr>
    <w:rPr>
      <w:i/>
      <w:iCs/>
      <w:color w:val="auto"/>
      <w:sz w:val="19"/>
      <w:szCs w:val="19"/>
    </w:rPr>
  </w:style>
  <w:style w:type="paragraph" w:customStyle="1" w:styleId="IASBNormalnparaL2">
    <w:name w:val="IASB Normal nparaL2"/>
    <w:basedOn w:val="a"/>
    <w:pPr>
      <w:spacing w:before="100"/>
      <w:ind w:left="2347" w:hanging="782"/>
      <w:jc w:val="both"/>
    </w:pPr>
    <w:rPr>
      <w:color w:val="auto"/>
      <w:sz w:val="19"/>
      <w:szCs w:val="19"/>
    </w:rPr>
  </w:style>
  <w:style w:type="paragraph" w:customStyle="1" w:styleId="IASBTableTNR">
    <w:name w:val="IASB Table TNR"/>
    <w:basedOn w:val="a"/>
    <w:pPr>
      <w:spacing w:before="120"/>
    </w:pPr>
    <w:rPr>
      <w:color w:val="auto"/>
      <w:sz w:val="19"/>
      <w:szCs w:val="19"/>
    </w:rPr>
  </w:style>
  <w:style w:type="paragraph" w:customStyle="1" w:styleId="IASBTableArial">
    <w:name w:val="IASB Table Arial"/>
    <w:basedOn w:val="a"/>
    <w:pPr>
      <w:spacing w:before="120"/>
    </w:pPr>
    <w:rPr>
      <w:rFonts w:ascii="Arial" w:hAnsi="Arial" w:cs="Arial"/>
      <w:color w:val="auto"/>
      <w:sz w:val="18"/>
      <w:szCs w:val="18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203A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03A1B"/>
    <w:rPr>
      <w:rFonts w:eastAsiaTheme="minorEastAsia"/>
      <w:color w:val="00000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03A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03A1B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6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6386</Words>
  <Characters>44855</Characters>
  <Application>Microsoft Office Word</Application>
  <DocSecurity>0</DocSecurity>
  <Lines>373</Lines>
  <Paragraphs>102</Paragraphs>
  <ScaleCrop>false</ScaleCrop>
  <Company/>
  <LinksUpToDate>false</LinksUpToDate>
  <CharactersWithSpaces>51139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Международный стандарт финансовой отчетности (IFRS) 14 «Счета отложенных тарифных разниц» (2014 год) (©Paragraph 2023)</dc:title>
  <dc:subject/>
  <dc:creator>Сергей М</dc:creator>
  <cp:keywords/>
  <dc:description/>
  <cp:lastModifiedBy>Сергей М</cp:lastModifiedBy>
  <cp:revision>2</cp:revision>
  <dcterms:created xsi:type="dcterms:W3CDTF">2023-07-17T14:43:00Z</dcterms:created>
  <dcterms:modified xsi:type="dcterms:W3CDTF">2023-07-17T14:43:00Z</dcterms:modified>
</cp:coreProperties>
</file>