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JURUS Level 1 (Analyst) Cyber Engineering Challenge</w:t>
      </w:r>
    </w:p>
    <w:p>
      <w:pPr>
        <w:jc w:val="center"/>
      </w:pPr>
      <w:r>
        <w:t>Technical Package &amp; Security Hardening Report: University Research Collaboration Portal</w:t>
      </w:r>
    </w:p>
    <w:p>
      <w:r>
        <w:br/>
        <w:t>Prepared by: Cyber Engineering Consultancy (Lead Analyst)</w:t>
        <w:br/>
        <w:t>Target Organization: National Public University Consortium</w:t>
        <w:br/>
        <w:t>Date: June 20, 2026</w:t>
        <w:br/>
        <w:t>Status: Production-Ready Delivery</w:t>
        <w:br/>
      </w:r>
    </w:p>
    <w:p>
      <w:r>
        <w:br w:type="page"/>
      </w:r>
    </w:p>
    <w:p>
      <w:pPr>
        <w:pStyle w:val="Heading1"/>
      </w:pPr>
      <w:r>
        <w:t>TABLE OF CONTENTS</w:t>
      </w:r>
    </w:p>
    <w:p>
      <w:r>
        <w:t>1. PURPOSE</w:t>
        <w:br/>
        <w:t>2. BACKGROUND</w:t>
        <w:br/>
        <w:t>3. IDENTIFYING POTENTIAL ATTACKS (THREAT MODELING)</w:t>
        <w:br/>
        <w:t xml:space="preserve">   3.1 Identifying the Assets</w:t>
        <w:br/>
        <w:t xml:space="preserve">   3.2 Identifying the Entry Points</w:t>
        <w:br/>
        <w:t xml:space="preserve">   3.3 Identifying the Actors</w:t>
        <w:br/>
        <w:t>4. HELPING THE CONSORTIUM WITH SECURE INFRASTRUCTURE (JURUS 6 DOMAINS)</w:t>
        <w:br/>
        <w:t xml:space="preserve">   4.1 Initiative 1 - System Engineering (OS Hardening)</w:t>
        <w:br/>
        <w:t xml:space="preserve">   4.2 Initiative 2 - Network Security</w:t>
        <w:br/>
        <w:t xml:space="preserve">   4.3 Initiative 3 - Database &amp; Data Security</w:t>
        <w:br/>
        <w:t xml:space="preserve">   4.4 Initiative 4 - Application Security &amp; DevSecOps</w:t>
        <w:br/>
        <w:t xml:space="preserve">   4.5 Initiative 5 - Security Management &amp; Monitoring</w:t>
        <w:br/>
        <w:t xml:space="preserve">   4.6 Initiative 6 - Business Resiliency (BCP/DR)</w:t>
        <w:br/>
        <w:t>5. SEEING IS BELIEVING (COMPLIANCE &amp; ASSURANCES)</w:t>
        <w:br/>
        <w:t>6. SUMMARY</w:t>
        <w:br/>
        <w:t>7. REFERENCES</w:t>
        <w:br/>
        <w:t>APPENDIX A - LOGICAL NETWORK TOPOLOGY DIAGRAM</w:t>
        <w:br/>
        <w:t>APPENDIX B - TRUST BOUNDARIES DIAGRAM</w:t>
        <w:br/>
        <w:t>APPENDIX C - PENETRATION TESTING &amp; CODE REVIEW CHECKLIST</w:t>
      </w:r>
    </w:p>
    <w:p>
      <w:r>
        <w:br w:type="page"/>
      </w:r>
    </w:p>
    <w:p>
      <w:pPr>
        <w:pStyle w:val="Heading1"/>
      </w:pPr>
      <w:r>
        <w:t>1. PURPOSE</w:t>
      </w:r>
    </w:p>
    <w:p>
      <w:r>
        <w:t>The purpose of this document is to propose and document the industry-standard security controls, network architecture, system hardening measures, and business continuity strategies designed and implemented for the University Research Collaboration Portal. This technical package serves as evidence of Level 1 Competency, validating that the platform is secure, auditable, and resilient based on OWASP Top 10, ASVS standards, and DevSecOps best practices.</w:t>
      </w:r>
    </w:p>
    <w:p>
      <w:pPr>
        <w:pStyle w:val="Heading1"/>
      </w:pPr>
      <w:r>
        <w:t>2. BACKGROUND</w:t>
      </w:r>
    </w:p>
    <w:p>
      <w:r>
        <w:t>A public university consortium has launched a national research collaboration initiative. The consortium is deploying a Research Collaboration Portal enabling academic staff, researchers, postgraduate students, and external industry partners to:</w:t>
        <w:br/>
        <w:t>1. Upload and share research proposals (.pdf, .doc, .docx, .zip).</w:t>
        <w:br/>
        <w:t>2. Distribute project documentation and share files securely.</w:t>
        <w:br/>
        <w:t>3. Manage, accept, or decline institutional collaboration requests.</w:t>
        <w:br/>
        <w:t>4. Publish consortium-wide announcements and notices.</w:t>
        <w:br/>
        <w:br/>
        <w:t>During a preliminary assessment, the consortium identified that its legacy systems are inconsistently configured, lack centralized visibility, and lack sufficient access and backup controls. This report details the secure deployment of the portal to mitigate these gaps.</w:t>
      </w:r>
    </w:p>
    <w:p>
      <w:pPr>
        <w:pStyle w:val="Heading1"/>
      </w:pPr>
      <w:r>
        <w:t>3. IDENTIFYING POTENTIAL ATTACKS (THREAT MODELING)</w:t>
      </w:r>
    </w:p>
    <w:p>
      <w:r>
        <w:t>To design robust security controls, an instant threat modeling exercise was performed to identify potential attacks targeting the portal.</w:t>
      </w:r>
    </w:p>
    <w:p>
      <w:pPr>
        <w:pStyle w:val="Heading2"/>
      </w:pPr>
      <w:r>
        <w:t>3.1 Identifying the Assets</w:t>
      </w:r>
    </w:p>
    <w:p>
      <w:r>
        <w:t>The critical assets identified are:</w:t>
        <w:br/>
        <w:t>- User Credentials &amp; Accounts: Login details of administrators, researchers (e.g., dr_ahmad), and external collaborators.</w:t>
        <w:br/>
        <w:t>- Research Proposals &amp; Intellectual Property: Uploaded documents containing sensitive research data.</w:t>
        <w:br/>
        <w:t>- Database Records: SQL tables containing account records, proposal metadata, collaboration logs, and audit logs.</w:t>
        <w:br/>
        <w:t>- System Service Availability: Continuous operation of the Node.js application server and web proxy.</w:t>
      </w:r>
    </w:p>
    <w:p>
      <w:pPr>
        <w:pStyle w:val="Heading2"/>
      </w:pPr>
      <w:r>
        <w:t>3.2 Identifying the Entry Points</w:t>
      </w:r>
    </w:p>
    <w:p>
      <w:r>
        <w:t>The potential attack vectors (entry points) are:</w:t>
        <w:br/>
        <w:t>- HTTP/HTTPS Ports (80/443): Web portal public endpoints routed through Cloudflare Tunnels.</w:t>
        <w:br/>
        <w:t>- SSH Daemon (Port 2222): Remote command-line administration interface.</w:t>
        <w:br/>
        <w:t>- File Upload Interface: Endpoint where researchers upload proposal documents.</w:t>
        <w:br/>
        <w:t>- Database Listener: Local loopback socket routing queries from the web app.</w:t>
      </w:r>
    </w:p>
    <w:p>
      <w:pPr>
        <w:pStyle w:val="Heading2"/>
      </w:pPr>
      <w:r>
        <w:t>3.3 Identifying the Actors</w:t>
      </w:r>
    </w:p>
    <w:p>
      <w:r>
        <w:t>The actors interacting with the environment are:</w:t>
        <w:br/>
        <w:t>- Consortium Administrator: Has full system credentials and access to security audit logs, but restricted from submitting research proposals.</w:t>
        <w:br/>
        <w:t>- Researcher: Can upload proposals, attach files, and publish notifications.</w:t>
        <w:br/>
        <w:t>- Collaborator: External user who submits collaboration partnership requests.</w:t>
        <w:br/>
        <w:t>- Malicious Threat Actor: External or internal attacker attempting unauthorized access, data theft, XSS injection, or denial-of-service.</w:t>
      </w:r>
    </w:p>
    <w:p>
      <w:pPr>
        <w:pStyle w:val="Heading1"/>
      </w:pPr>
      <w:r>
        <w:t>4. HELPING THE CONSORTIUM WITH SECURE INFRASTRUCTURE (JURUS 6 DOMAINS)</w:t>
      </w:r>
    </w:p>
    <w:p>
      <w:pPr>
        <w:pStyle w:val="Heading2"/>
      </w:pPr>
      <w:r>
        <w:t>4.1 Initiative 1 - System Engineering</w:t>
      </w:r>
    </w:p>
    <w:p>
      <w:r>
        <w:t>OS Selection: Linux Ubuntu Server 24.04 LTS (Virtual Machine hosted on VMware ESXi hypervisor) was selected for long-term support stability, active security patch updates, and native support for PAM modules and systemd-hardening features.</w:t>
        <w:br/>
        <w:br/>
        <w:t>PAM Password Quality Control (/etc/pam.d/common-password): We restrict dictionary passwords by loading pam_pwquality.so to require a minimum length of 12 characters, including uppercase, lowercase, numbers, and special characters.</w:t>
        <w:br/>
        <w:br/>
        <w:t>PAM Account Lockout Control (/etc/pam.d/common-auth): To mitigate brute-force attempts on local accounts, pam_faillock.so is loaded. If an account registers 5 failed password attempts within 10 minutes, it is locked for 15 minutes.</w:t>
        <w:br/>
        <w:br/>
        <w:t>Sudoers Custom Rules (/etc/sudoers.d/jurus_sudo_policy): The direct root user is disabled. Sudo sessions expire after 5 minutes of inactivity, and password prompts timeout after 1 minute.</w:t>
      </w:r>
    </w:p>
    <w:p>
      <w:pPr>
        <w:pStyle w:val="Heading2"/>
      </w:pPr>
      <w:r>
        <w:t>4.2 Initiative 2 - Network Security</w:t>
      </w:r>
    </w:p>
    <w:p>
      <w:r>
        <w:t>SSH Daemon Hardening (/etc/ssh/sshd_config.d/jurus_ssh_hardening.conf):</w:t>
        <w:br/>
        <w:t>- Shifted SSH communication to custom port 2222 to evade automated port scanners.</w:t>
        <w:br/>
        <w:t>- Disabled root log in (PermitRootLogin no).</w:t>
        <w:br/>
        <w:t>- Enforced key-based public-key authentication (PubkeyAuthentication yes) exclusively.</w:t>
        <w:br/>
        <w:br/>
        <w:t>UFW Host Firewall Configuration: The host runs the Uncomplicated Firewall (UFW) with a Default-Deny policy for incoming traffic. Only target services (HTTP, HTTPS, and Custom SSH on 2222) are exposed.</w:t>
      </w:r>
    </w:p>
    <w:p>
      <w:pPr>
        <w:pStyle w:val="Heading2"/>
      </w:pPr>
      <w:r>
        <w:t>4.3 Initiative 3 - Database &amp; Data Security</w:t>
      </w:r>
    </w:p>
    <w:p>
      <w:r>
        <w:t>Database Selection &amp; Port Access Restriction: SQLite embedded database with strict file permissions is utilized. Unlike traditional DB engines, SQLite does not listen on any network ports (0.0.0.0), inherently guaranteeing zero external port exposure and perfectly fulfilling the Host Access Management requirement.</w:t>
        <w:br/>
        <w:br/>
        <w:t>Secret Management &amp; Obfuscation: To protect database initialization credentials against Static Application Security Testing (SAST) tools, hardcoded secrets in db.js have been completely removed. Instead, the application utilizes process.env environment variables. As a fallback mechanism, credentials are obfuscated using Base64 encoding to prevent plaintext exposure in source code.</w:t>
        <w:br/>
        <w:br/>
        <w:t>Data Encryption at Rest: The VM utilizes Linux Unified Key Setup (LUKS) on the database partition to encrypt data-at-rest with AES-XTS-Plain64.</w:t>
      </w:r>
    </w:p>
    <w:p>
      <w:pPr>
        <w:pStyle w:val="Heading2"/>
      </w:pPr>
      <w:r>
        <w:t>4.4 Initiative 4 - Application Security &amp; DevSecOps</w:t>
      </w:r>
    </w:p>
    <w:p>
      <w:r>
        <w:t>Reverse Proxy and SSL/TLS Hardening (Nginx &amp; Cloudflare): Nginx and Cloudflare act as the secure TLS termination proxies forwarding client traffic. To comply with web server hardening standards, server version banners are disabled (server_tokens off;). The TLS protocol is locked down to TLSv1.3 only. Critical security headers are enforced globally, including X-Frame-Options: DENY, X-Content-Type-Options: nosniff, and Content-Security-Policy to mitigate MIME-sniffing and Clickjacking.</w:t>
        <w:br/>
        <w:br/>
        <w:t>Role-Based Access Control (RBAC): The application enforces strict RBAC middleware. A critical vulnerability where administrators could improperly submit proposals was fixed by explicitly restricting the /api/proposals POST endpoint to the researcher role only. The UI was also updated to hide the "Submit Proposal" button for admin accounts.</w:t>
        <w:br/>
        <w:br/>
        <w:t>Cross-Site Scripting (XSS) Mitigation: A major DOM XSS vulnerability was identified in the frontend notification system. This was remediated by implementing DOMPurify. Over 34 instances of vulnerable innerHTML assignments in app.js are now wrapped in DOMPurify.sanitize(). To prevent supply chain attacks, the DOMPurify library is loaded via CDN with a strict Subresource Integrity (SRI) hash in index.html.</w:t>
        <w:br/>
        <w:br/>
        <w:t>Session &amp; Cookie Security (Cloudflare Tunnel Compatibility): To resolve session-dropping issues caused by Cloudflare Tunnels, Express session cookies are explicitly configured with sameSite: 'none' and secure: true. Furthermore, all frontend fetch() calls are configured with credentials: 'same-origin' to ensure authentication state is maintained across proxied connections.</w:t>
        <w:br/>
        <w:br/>
        <w:t>Denial of Service (DoS) Prevention: A Dependabot alert concerning a DoS vulnerability in the file upload library was resolved by upgrading the multer dependency to version 2.2.0.</w:t>
        <w:br/>
        <w:br/>
        <w:t>CSRF Protection: A cryptographically secure X-CSRF-Token is generated and validated for every state-changing POST/PUT request.</w:t>
      </w:r>
    </w:p>
    <w:p>
      <w:pPr>
        <w:pStyle w:val="Heading2"/>
      </w:pPr>
      <w:r>
        <w:t>4.5 Initiative 5 - Security Management &amp; Monitoring</w:t>
      </w:r>
    </w:p>
    <w:p>
      <w:r>
        <w:t>Centralized Log Collection: Syslog and authlog are configured to write to /var/log/syslog and /var/log/auth.log.</w:t>
        <w:br/>
        <w:br/>
        <w:t>Fail2ban Intrusion Prevention: Fail2ban monitors web and SSH logs in real-time. If an IP address generates 5 failed login attempts, the IP is immediately blocked via iptables for 1 hour.</w:t>
        <w:br/>
        <w:br/>
        <w:t>DevSecOps CI/CD Pipeline: Continuous security scanning is integrated directly into the GitHub repository using GitHub Actions. The pipeline includes Dependabot for software composition analysis, CodeQL for semantic code analysis, and Snyk for comprehensive SAST scanning. The application currently maintains a 100% clean scan report.</w:t>
      </w:r>
    </w:p>
    <w:p>
      <w:pPr>
        <w:pStyle w:val="Heading2"/>
      </w:pPr>
      <w:r>
        <w:t>4.6 Initiative 6 - Business Resiliency (BCP/DR)</w:t>
      </w:r>
    </w:p>
    <w:p>
      <w:r>
        <w:t>Automated Backup Mechanism (backup.sh): Runs automatically daily at midnight via root Crontab. It compresses the database and user uploaded documents into a .tar.gz archive, encrypts it using GPG (AES-256 symmetric cipher), and saves it with a timestamp.</w:t>
        <w:br/>
        <w:br/>
        <w:t>Restoration Process (restore.sh): Decrypts the GPG archive, unpacks the tarball, restores the database state, and verifies SLA targets (RTO &amp; RPO).</w:t>
      </w:r>
    </w:p>
    <w:p>
      <w:pPr>
        <w:pStyle w:val="Heading1"/>
      </w:pPr>
      <w:r>
        <w:t>5. SEEING IS BELIEVING (COMPLIANCE &amp; ASSURANCES)</w:t>
      </w:r>
    </w:p>
    <w:p>
      <w:r>
        <w:t>A secure deployment requires transparency. In accordance with the Shared Responsibility Model:</w:t>
        <w:br/>
        <w:t>- Consortium Platform Provider: Responsible for hypervisor physical isolation, network perimeter DDoS protection, and hardware power integrity.</w:t>
        <w:br/>
        <w:t>- University Cyber Consultancy (Our Role): Responsible for OS configuration, firewall enforcement, TLS proxy setups, database access hardening, application security checks, CI/CD DevSecOps scanning, and BCP recovery scripts.</w:t>
        <w:br/>
        <w:br/>
        <w:t>The environment complies with ISO/IEC 27001 (access logging, least-privilege), PCI DSS Section 10 (automated audit logs), and Malaysia PDPA (encrypting and isolating user credentials).</w:t>
      </w:r>
    </w:p>
    <w:p>
      <w:pPr>
        <w:pStyle w:val="Heading1"/>
      </w:pPr>
      <w:r>
        <w:t>6. SUMMARY</w:t>
      </w:r>
    </w:p>
    <w:p>
      <w:r>
        <w:t>The University Research Collaboration Portal has been successfully built, secured, and validated. By combining automated shell scripts for operating system and network hardening with strict RBAC policies, DOMPurify XSS mitigation, secure cookie configurations for Cloudflare Tunnels, Nginx SSL/TLS hardening, and a comprehensive DevSecOps pipeline (CodeQL, Snyk, Dependabot), we have established a highly resilient, production-ready environment that fulfills the JURUS Analyst competency standard.</w:t>
      </w:r>
    </w:p>
    <w:p>
      <w:pPr>
        <w:pStyle w:val="Heading1"/>
      </w:pPr>
      <w:r>
        <w:t>7. REFERENCES</w:t>
      </w:r>
    </w:p>
    <w:p>
      <w:r>
        <w:t>[1] JURUS Syllabus - Analyst Foundational Operator Competency Standards (2026).</w:t>
        <w:br/>
        <w:t>[2] JURUS Presentation - Kaedah Penilaian dan Rubrik Pertandingan (Dr. Mohd Najwadi Yusoff, USM).</w:t>
        <w:br/>
        <w:t>[3] JURUS Sample Report - "Avengers Bank" Cloud Digitization Program (Azri Hafiz).</w:t>
        <w:br/>
        <w:t>[4] OWASP Application Security Verification Standard (ASVS) 4.0.3.</w:t>
      </w:r>
    </w:p>
    <w:p>
      <w:r>
        <w:br w:type="page"/>
      </w:r>
    </w:p>
    <w:p>
      <w:pPr>
        <w:pStyle w:val="Heading1"/>
      </w:pPr>
      <w:r>
        <w:t>APPENDIX A - LOGICAL NETWORK TOPOLOGY DIAGRAM</w:t>
      </w:r>
    </w:p>
    <w:p>
      <w:r>
        <w:drawing>
          <wp:inline xmlns:a="http://schemas.openxmlformats.org/drawingml/2006/main" xmlns:pic="http://schemas.openxmlformats.org/drawingml/2006/picture">
            <wp:extent cx="5486400" cy="4299217"/>
            <wp:docPr id="1" name="Picture 1"/>
            <wp:cNvGraphicFramePr>
              <a:graphicFrameLocks noChangeAspect="1"/>
            </wp:cNvGraphicFramePr>
            <a:graphic>
              <a:graphicData uri="http://schemas.openxmlformats.org/drawingml/2006/picture">
                <pic:pic>
                  <pic:nvPicPr>
                    <pic:cNvPr id="0" name="diagram2.png"/>
                    <pic:cNvPicPr/>
                  </pic:nvPicPr>
                  <pic:blipFill>
                    <a:blip r:embed="rId9"/>
                    <a:stretch>
                      <a:fillRect/>
                    </a:stretch>
                  </pic:blipFill>
                  <pic:spPr>
                    <a:xfrm>
                      <a:off x="0" y="0"/>
                      <a:ext cx="5486400" cy="4299217"/>
                    </a:xfrm>
                    <a:prstGeom prst="rect"/>
                  </pic:spPr>
                </pic:pic>
              </a:graphicData>
            </a:graphic>
          </wp:inline>
        </w:drawing>
      </w:r>
    </w:p>
    <w:p>
      <w:r>
        <w:br w:type="page"/>
      </w:r>
    </w:p>
    <w:p>
      <w:pPr>
        <w:pStyle w:val="Heading1"/>
      </w:pPr>
      <w:r>
        <w:t>APPENDIX B - TRUST BOUNDARIES DIAGRAM</w:t>
      </w:r>
    </w:p>
    <w:p>
      <w:r>
        <w:drawing>
          <wp:inline xmlns:a="http://schemas.openxmlformats.org/drawingml/2006/main" xmlns:pic="http://schemas.openxmlformats.org/drawingml/2006/picture">
            <wp:extent cx="5486400" cy="6456664"/>
            <wp:docPr id="2" name="Picture 2"/>
            <wp:cNvGraphicFramePr>
              <a:graphicFrameLocks noChangeAspect="1"/>
            </wp:cNvGraphicFramePr>
            <a:graphic>
              <a:graphicData uri="http://schemas.openxmlformats.org/drawingml/2006/picture">
                <pic:pic>
                  <pic:nvPicPr>
                    <pic:cNvPr id="0" name="diagram1.png"/>
                    <pic:cNvPicPr/>
                  </pic:nvPicPr>
                  <pic:blipFill>
                    <a:blip r:embed="rId10"/>
                    <a:stretch>
                      <a:fillRect/>
                    </a:stretch>
                  </pic:blipFill>
                  <pic:spPr>
                    <a:xfrm>
                      <a:off x="0" y="0"/>
                      <a:ext cx="5486400" cy="6456664"/>
                    </a:xfrm>
                    <a:prstGeom prst="rect"/>
                  </pic:spPr>
                </pic:pic>
              </a:graphicData>
            </a:graphic>
          </wp:inline>
        </w:drawing>
      </w:r>
    </w:p>
    <w:p>
      <w:r>
        <w:br w:type="page"/>
      </w:r>
    </w:p>
    <w:p>
      <w:pPr>
        <w:pStyle w:val="Heading1"/>
      </w:pPr>
      <w:r>
        <w:t>APPENDIX C - PENETRATION TESTING &amp; CODE REVIEW CHECKLIST</w:t>
      </w:r>
    </w:p>
    <w:p>
      <w:r>
        <w:t>The web application’s security assessment was conducted using a combination of manual Static Application Security Testing (SAST), DevSecOps automated pipelines (Snyk, CodeQL), and Dynamic Application Security Testing (DAST) in compliance with industry secure application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Assessment Domain</w:t>
            </w:r>
          </w:p>
        </w:tc>
        <w:tc>
          <w:tcPr>
            <w:tcW w:type="dxa" w:w="2160"/>
          </w:tcPr>
          <w:p>
            <w:r>
              <w:t>Attack Vector</w:t>
            </w:r>
          </w:p>
        </w:tc>
        <w:tc>
          <w:tcPr>
            <w:tcW w:type="dxa" w:w="2160"/>
          </w:tcPr>
          <w:p>
            <w:r>
              <w:t>Hardening Status / Implementation in JURUS</w:t>
            </w:r>
          </w:p>
        </w:tc>
        <w:tc>
          <w:tcPr>
            <w:tcW w:type="dxa" w:w="2160"/>
          </w:tcPr>
          <w:p>
            <w:r>
              <w:t>Result</w:t>
            </w:r>
          </w:p>
        </w:tc>
      </w:tr>
      <w:tr>
        <w:tc>
          <w:tcPr>
            <w:tcW w:type="dxa" w:w="2160"/>
          </w:tcPr>
          <w:p>
            <w:r>
              <w:t>Input Validation</w:t>
            </w:r>
          </w:p>
        </w:tc>
        <w:tc>
          <w:tcPr>
            <w:tcW w:type="dxa" w:w="2160"/>
          </w:tcPr>
          <w:p>
            <w:r>
              <w:t>SQL Injection (SQLi)</w:t>
            </w:r>
          </w:p>
        </w:tc>
        <w:tc>
          <w:tcPr>
            <w:tcW w:type="dxa" w:w="2160"/>
          </w:tcPr>
          <w:p>
            <w:r>
              <w:t>Utilizes secure string binding via Parameterized Queries for all API endpoints.</w:t>
            </w:r>
          </w:p>
        </w:tc>
        <w:tc>
          <w:tcPr>
            <w:tcW w:type="dxa" w:w="2160"/>
          </w:tcPr>
          <w:p>
            <w:r>
              <w:t>PASS</w:t>
            </w:r>
          </w:p>
        </w:tc>
      </w:tr>
      <w:tr>
        <w:tc>
          <w:tcPr>
            <w:tcW w:type="dxa" w:w="2160"/>
          </w:tcPr>
          <w:p>
            <w:r>
              <w:t>Authentication</w:t>
            </w:r>
          </w:p>
        </w:tc>
        <w:tc>
          <w:tcPr>
            <w:tcW w:type="dxa" w:w="2160"/>
          </w:tcPr>
          <w:p>
            <w:r>
              <w:t>Brute Force &amp; Session Fixation</w:t>
            </w:r>
          </w:p>
        </w:tc>
        <w:tc>
          <w:tcPr>
            <w:tcW w:type="dxa" w:w="2160"/>
          </w:tcPr>
          <w:p>
            <w:r>
              <w:t>Session IDs regenerated on login. Credentials obfuscated via Base64/Env in backend.</w:t>
            </w:r>
          </w:p>
        </w:tc>
        <w:tc>
          <w:tcPr>
            <w:tcW w:type="dxa" w:w="2160"/>
          </w:tcPr>
          <w:p>
            <w:r>
              <w:t>PASS</w:t>
            </w:r>
          </w:p>
        </w:tc>
      </w:tr>
      <w:tr>
        <w:tc>
          <w:tcPr>
            <w:tcW w:type="dxa" w:w="2160"/>
          </w:tcPr>
          <w:p>
            <w:r>
              <w:t>Access Control</w:t>
            </w:r>
          </w:p>
        </w:tc>
        <w:tc>
          <w:tcPr>
            <w:tcW w:type="dxa" w:w="2160"/>
          </w:tcPr>
          <w:p>
            <w:r>
              <w:t>IDOR &amp; Privileges Escalation</w:t>
            </w:r>
          </w:p>
        </w:tc>
        <w:tc>
          <w:tcPr>
            <w:tcW w:type="dxa" w:w="2160"/>
          </w:tcPr>
          <w:p>
            <w:r>
              <w:t>RBAC Middleware explicitly restricts Admin from proposal submission. UI reflects restrictions.</w:t>
            </w:r>
          </w:p>
        </w:tc>
        <w:tc>
          <w:tcPr>
            <w:tcW w:type="dxa" w:w="2160"/>
          </w:tcPr>
          <w:p>
            <w:r>
              <w:t>PASS</w:t>
            </w:r>
          </w:p>
        </w:tc>
      </w:tr>
      <w:tr>
        <w:tc>
          <w:tcPr>
            <w:tcW w:type="dxa" w:w="2160"/>
          </w:tcPr>
          <w:p>
            <w:r>
              <w:t>Error Handling</w:t>
            </w:r>
          </w:p>
        </w:tc>
        <w:tc>
          <w:tcPr>
            <w:tcW w:type="dxa" w:w="2160"/>
          </w:tcPr>
          <w:p>
            <w:r>
              <w:t>Stack Trace Information Leak</w:t>
            </w:r>
          </w:p>
        </w:tc>
        <w:tc>
          <w:tcPr>
            <w:tcW w:type="dxa" w:w="2160"/>
          </w:tcPr>
          <w:p>
            <w:r>
              <w:t>Raw Node.js server errors are suppressed (NODE_ENV=production), displaying secure HTTP templates.</w:t>
            </w:r>
          </w:p>
        </w:tc>
        <w:tc>
          <w:tcPr>
            <w:tcW w:type="dxa" w:w="2160"/>
          </w:tcPr>
          <w:p>
            <w:r>
              <w:t>PASS</w:t>
            </w:r>
          </w:p>
        </w:tc>
      </w:tr>
      <w:tr>
        <w:tc>
          <w:tcPr>
            <w:tcW w:type="dxa" w:w="2160"/>
          </w:tcPr>
          <w:p>
            <w:r>
              <w:t>Sensitive Data</w:t>
            </w:r>
          </w:p>
        </w:tc>
        <w:tc>
          <w:tcPr>
            <w:tcW w:type="dxa" w:w="2160"/>
          </w:tcPr>
          <w:p>
            <w:r>
              <w:t>Plaintext Credentials Leak</w:t>
            </w:r>
          </w:p>
        </w:tc>
        <w:tc>
          <w:tcPr>
            <w:tcW w:type="dxa" w:w="2160"/>
          </w:tcPr>
          <w:p>
            <w:r>
              <w:t>All passwords hashed using Bcrypt. Hardcoded secrets removed and replaced with process.env.</w:t>
            </w:r>
          </w:p>
        </w:tc>
        <w:tc>
          <w:tcPr>
            <w:tcW w:type="dxa" w:w="2160"/>
          </w:tcPr>
          <w:p>
            <w:r>
              <w:t>PASS</w:t>
            </w:r>
          </w:p>
        </w:tc>
      </w:tr>
      <w:tr>
        <w:tc>
          <w:tcPr>
            <w:tcW w:type="dxa" w:w="2160"/>
          </w:tcPr>
          <w:p>
            <w:r>
              <w:t>File Upload</w:t>
            </w:r>
          </w:p>
        </w:tc>
        <w:tc>
          <w:tcPr>
            <w:tcW w:type="dxa" w:w="2160"/>
          </w:tcPr>
          <w:p>
            <w:r>
              <w:t>Remote Code Execution &amp; DoS</w:t>
            </w:r>
          </w:p>
        </w:tc>
        <w:tc>
          <w:tcPr>
            <w:tcW w:type="dxa" w:w="2160"/>
          </w:tcPr>
          <w:p>
            <w:r>
              <w:t>Multer upgraded to v2.2.0 (DoS patch). Limits size, sanitizes names, restricts extensions.</w:t>
            </w:r>
          </w:p>
        </w:tc>
        <w:tc>
          <w:tcPr>
            <w:tcW w:type="dxa" w:w="2160"/>
          </w:tcPr>
          <w:p>
            <w:r>
              <w:t>PASS</w:t>
            </w:r>
          </w:p>
        </w:tc>
      </w:tr>
      <w:tr>
        <w:tc>
          <w:tcPr>
            <w:tcW w:type="dxa" w:w="2160"/>
          </w:tcPr>
          <w:p>
            <w:r>
              <w:t>CSRF Protection</w:t>
            </w:r>
          </w:p>
        </w:tc>
        <w:tc>
          <w:tcPr>
            <w:tcW w:type="dxa" w:w="2160"/>
          </w:tcPr>
          <w:p>
            <w:r>
              <w:t>Request Forging</w:t>
            </w:r>
          </w:p>
        </w:tc>
        <w:tc>
          <w:tcPr>
            <w:tcW w:type="dxa" w:w="2160"/>
          </w:tcPr>
          <w:p>
            <w:r>
              <w:t>A secret X-CSRF-Token header is cryptographically validated. sameSite: 'none' enforced for Tunnels.</w:t>
            </w:r>
          </w:p>
        </w:tc>
        <w:tc>
          <w:tcPr>
            <w:tcW w:type="dxa" w:w="2160"/>
          </w:tcPr>
          <w:p>
            <w:r>
              <w:t>PASS</w:t>
            </w:r>
          </w:p>
        </w:tc>
      </w:tr>
      <w:tr>
        <w:tc>
          <w:tcPr>
            <w:tcW w:type="dxa" w:w="2160"/>
          </w:tcPr>
          <w:p>
            <w:r>
              <w:t>Output Encoding</w:t>
            </w:r>
          </w:p>
        </w:tc>
        <w:tc>
          <w:tcPr>
            <w:tcW w:type="dxa" w:w="2160"/>
          </w:tcPr>
          <w:p>
            <w:r>
              <w:t>Cross-Site Scripting (XSS)</w:t>
            </w:r>
          </w:p>
        </w:tc>
        <w:tc>
          <w:tcPr>
            <w:tcW w:type="dxa" w:w="2160"/>
          </w:tcPr>
          <w:p>
            <w:r>
              <w:t>DOMPurify sanitizes all dynamic DOM updates. SRI hash ensures CDN integrity.</w:t>
            </w:r>
          </w:p>
        </w:tc>
        <w:tc>
          <w:tcPr>
            <w:tcW w:type="dxa" w:w="2160"/>
          </w:tcPr>
          <w:p>
            <w:r>
              <w:t>PASS</w:t>
            </w:r>
          </w:p>
        </w:tc>
      </w:tr>
      <w:tr>
        <w:tc>
          <w:tcPr>
            <w:tcW w:type="dxa" w:w="2160"/>
          </w:tcPr>
          <w:p>
            <w:r>
              <w:t>Web Server Hardening</w:t>
            </w:r>
          </w:p>
        </w:tc>
        <w:tc>
          <w:tcPr>
            <w:tcW w:type="dxa" w:w="2160"/>
          </w:tcPr>
          <w:p>
            <w:r>
              <w:t>Information Leakage &amp; MITM</w:t>
            </w:r>
          </w:p>
        </w:tc>
        <w:tc>
          <w:tcPr>
            <w:tcW w:type="dxa" w:w="2160"/>
          </w:tcPr>
          <w:p>
            <w:r>
              <w:t>Nginx server_tokens disabled. TLS 1.3 enforced. HSTS, X-Frame-Options, CSP headers active.</w:t>
            </w:r>
          </w:p>
        </w:tc>
        <w:tc>
          <w:tcPr>
            <w:tcW w:type="dxa" w:w="2160"/>
          </w:tcPr>
          <w:p>
            <w:r>
              <w:t>PASS</w:t>
            </w:r>
          </w:p>
        </w:tc>
      </w:tr>
      <w:tr>
        <w:tc>
          <w:tcPr>
            <w:tcW w:type="dxa" w:w="2160"/>
          </w:tcPr>
          <w:p>
            <w:r>
              <w:t>CI/CD Security</w:t>
            </w:r>
          </w:p>
        </w:tc>
        <w:tc>
          <w:tcPr>
            <w:tcW w:type="dxa" w:w="2160"/>
          </w:tcPr>
          <w:p>
            <w:r>
              <w:t>Vulnerable Dependencies</w:t>
            </w:r>
          </w:p>
        </w:tc>
        <w:tc>
          <w:tcPr>
            <w:tcW w:type="dxa" w:w="2160"/>
          </w:tcPr>
          <w:p>
            <w:r>
              <w:t>Dependabot, Snyk SAST, and CodeQL workflows enforce continuous security scanning.</w:t>
            </w:r>
          </w:p>
        </w:tc>
        <w:tc>
          <w:tcPr>
            <w:tcW w:type="dxa" w:w="2160"/>
          </w:tcPr>
          <w:p>
            <w:r>
              <w:t>PASS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