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LAPORAN MONITORING DAN EVALUASI</w:t>
      </w:r>
    </w:p>
    <w:p>
      <w:pPr>
        <w:jc w:val="center"/>
      </w:pPr>
      <w:r>
        <w:rPr>
          <w:sz w:val="22"/>
        </w:rPr>
        <w:t>{{satker_nama}}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Periode</w:t>
            </w:r>
          </w:p>
        </w:tc>
        <w:tc>
          <w:tcPr>
            <w:tcW w:type="dxa" w:w="4320"/>
          </w:tcPr>
          <w:p>
            <w:r>
              <w:t>{{periode_monev}}</w:t>
            </w:r>
          </w:p>
        </w:tc>
      </w:tr>
      <w:tr>
        <w:tc>
          <w:tcPr>
            <w:tcW w:type="dxa" w:w="4320"/>
          </w:tcPr>
          <w:p>
            <w:r>
              <w:t>Paket</w:t>
            </w:r>
          </w:p>
        </w:tc>
        <w:tc>
          <w:tcPr>
            <w:tcW w:type="dxa" w:w="4320"/>
          </w:tcPr>
          <w:p>
            <w:r>
              <w:t>{{nama_paket}}</w:t>
            </w:r>
          </w:p>
        </w:tc>
      </w:tr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{{progres_persen}}%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{{status_paket}}</w:t>
            </w:r>
          </w:p>
        </w:tc>
      </w:tr>
    </w:tbl>
    <w:p/>
    <w:p>
      <w:pPr>
        <w:pStyle w:val="Heading2"/>
      </w:pPr>
      <w:r>
        <w:t>ANALISIS</w:t>
      </w:r>
    </w:p>
    <w:p>
      <w:r>
        <w:t>{{analisis_monev}}</w:t>
      </w:r>
    </w:p>
    <w:p/>
    <w:p>
      <w:pPr>
        <w:pStyle w:val="Heading2"/>
      </w:pPr>
      <w:r>
        <w:t>REKOMENDASI</w:t>
      </w:r>
    </w:p>
    <w:p>
      <w:r>
        <w:t>{{rekomendasi_monev}}</w:t>
      </w:r>
    </w:p>
    <w:p/>
    <w:p/>
    <w:p>
      <w:r>
        <w:t>Monitor</w:t>
      </w:r>
    </w:p>
    <w:p/>
    <w:p/>
    <w:p>
      <w:r>
        <w:t>{{ppk_nama}}</w:t>
      </w:r>
    </w:p>
    <w:p>
      <w:r>
        <w:t>NIP: {{ppk_nip}}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