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  <w:jc w:val="center"/>
      </w:pPr>
      <w:r>
        <w:t>SYARAT-SYARAT UMUM KONTRAK</w:t>
      </w:r>
    </w:p>
    <w:p>
      <w:pPr>
        <w:spacing w:line="240" w:lineRule="auto"/>
      </w:pPr>
    </w:p>
    <w:p>
      <w:pPr>
        <w:pStyle w:val="Heading1"/>
        <w:spacing w:line="240" w:lineRule="auto"/>
      </w:pPr>
      <w:r>
        <w:t>BAB I - KETENTUAN UMUM</w:t>
      </w:r>
    </w:p>
    <w:p>
      <w:pPr>
        <w:spacing w:line="240" w:lineRule="auto"/>
      </w:pPr>
      <w:r>
        <w:t>1. Definisi</w:t>
        <w:br/>
        <w:t>2. Penerapan</w:t>
        <w:br/>
        <w:t>3. Asal Material/Bahan</w:t>
      </w:r>
    </w:p>
    <w:p>
      <w:pPr>
        <w:pStyle w:val="Heading1"/>
        <w:spacing w:line="240" w:lineRule="auto"/>
      </w:pPr>
      <w:r>
        <w:t>BAB II - PELAKSANAAN KONTRAK</w:t>
      </w:r>
    </w:p>
    <w:p>
      <w:pPr>
        <w:spacing w:line="240" w:lineRule="auto"/>
      </w:pPr>
      <w:r>
        <w:t>4. Penyerahan Lokasi</w:t>
        <w:br/>
        <w:t>5. Jangka Waktu</w:t>
        <w:br/>
        <w:t>6. Perubahan Kontrak</w:t>
      </w:r>
    </w:p>
    <w:p>
      <w:pPr>
        <w:pStyle w:val="Heading1"/>
        <w:spacing w:line="240" w:lineRule="auto"/>
      </w:pPr>
      <w:r>
        <w:t>BAB III - PEMBAYARAN</w:t>
      </w:r>
    </w:p>
    <w:p>
      <w:pPr>
        <w:spacing w:line="240" w:lineRule="auto"/>
      </w:pPr>
      <w:r>
        <w:t>7. Harga Kontrak</w:t>
        <w:br/>
        <w:t>8. Cara Pembayaran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