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Ушаков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Я создал каталог для программ лабораторной работы № 7 и файл lab7-1.asm.</w:t>
      </w:r>
    </w:p>
    <w:p>
      <w:pPr>
        <w:pStyle w:val="BodyText"/>
      </w:pPr>
      <w:r>
        <w:t xml:space="preserve">Инструкция jmp в NASM используется для выполнения безусловных переходов.</w:t>
      </w:r>
      <w:r>
        <w:t xml:space="preserve"> </w:t>
      </w:r>
      <w:r>
        <w:t xml:space="preserve">Рассмотрим пример программы, в которой используется инструкция jmp.</w:t>
      </w:r>
      <w:r>
        <w:t xml:space="preserve"> </w:t>
      </w:r>
      <w:r>
        <w:t xml:space="preserve">Написал текст программы из листинга 7.1 в файле lab7-1.asm. (рис. 1)</w:t>
      </w:r>
    </w:p>
    <w:p>
      <w:pPr>
        <w:pStyle w:val="CaptionedFigure"/>
      </w:pPr>
      <w:bookmarkStart w:id="24" w:name="fig:001"/>
      <w:r>
        <w:drawing>
          <wp:inline>
            <wp:extent cx="4427621" cy="5024387"/>
            <wp:effectExtent b="0" l="0" r="0" t="0"/>
            <wp:docPr descr="Рис. 1: Код программы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5024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Код программы lab7-1.asm</w:t>
      </w:r>
    </w:p>
    <w:p>
      <w:pPr>
        <w:pStyle w:val="BodyText"/>
      </w:pPr>
      <w:r>
        <w:t xml:space="preserve">Создал исполняемый файл и запустил его. (рис. 2)</w:t>
      </w:r>
    </w:p>
    <w:p>
      <w:pPr>
        <w:pStyle w:val="CaptionedFigure"/>
      </w:pPr>
      <w:bookmarkStart w:id="28" w:name="fig:002"/>
      <w:r>
        <w:drawing>
          <wp:inline>
            <wp:extent cx="5334000" cy="784605"/>
            <wp:effectExtent b="0" l="0" r="0" t="0"/>
            <wp:docPr descr="Рис. 2: Компиляция и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Компиляция и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вперед, но и назад.</w:t>
      </w:r>
      <w:r>
        <w:t xml:space="preserve"> </w:t>
      </w:r>
      <w:r>
        <w:t xml:space="preserve">Мы изменим программу так, чтобы она сначала выводила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</w:t>
      </w:r>
      <w:r>
        <w:t xml:space="preserve"> </w:t>
      </w:r>
      <w:r>
        <w:t xml:space="preserve">затем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 </w:t>
      </w:r>
      <w:r>
        <w:t xml:space="preserve">и завершала работу. Для этого мы добавим в текст программы</w:t>
      </w:r>
      <w:r>
        <w:t xml:space="preserve"> </w:t>
      </w:r>
      <w:r>
        <w:t xml:space="preserve">после вывода</w:t>
      </w:r>
      <w:r>
        <w:t xml:space="preserve"> </w:t>
      </w:r>
      <w:r>
        <w:t xml:space="preserve">“</w:t>
      </w:r>
      <w:r>
        <w:t xml:space="preserve">Сообщения № 2</w:t>
      </w:r>
      <w:r>
        <w:t xml:space="preserve">”</w:t>
      </w:r>
      <w:r>
        <w:t xml:space="preserve"> </w:t>
      </w:r>
      <w:r>
        <w:t xml:space="preserve">инструкцию jmp с меткой _label1</w:t>
      </w:r>
      <w:r>
        <w:t xml:space="preserve"> </w:t>
      </w:r>
      <w:r>
        <w:t xml:space="preserve">(чтобы перейти к инструкциям вывода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) и после вывода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 </w:t>
      </w:r>
      <w:r>
        <w:t xml:space="preserve">добавим инструкцию jmp с меткой _end (чтобы перейти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 (рис. 3 4)</w:t>
      </w:r>
    </w:p>
    <w:p>
      <w:pPr>
        <w:pStyle w:val="CaptionedFigure"/>
      </w:pPr>
      <w:bookmarkStart w:id="32" w:name="fig:003"/>
      <w:r>
        <w:drawing>
          <wp:inline>
            <wp:extent cx="4745254" cy="5226517"/>
            <wp:effectExtent b="0" l="0" r="0" t="0"/>
            <wp:docPr descr="Рис. 3: Код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522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Код программы lab7-1.asm</w:t>
      </w:r>
    </w:p>
    <w:p>
      <w:pPr>
        <w:pStyle w:val="CaptionedFigure"/>
      </w:pPr>
      <w:bookmarkStart w:id="36" w:name="fig:004"/>
      <w:r>
        <w:drawing>
          <wp:inline>
            <wp:extent cx="5334000" cy="706410"/>
            <wp:effectExtent b="0" l="0" r="0" t="0"/>
            <wp:docPr descr="Рис. 4: Компиляция и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Компиляция и запуск программы lab7-1.asm</w:t>
      </w:r>
    </w:p>
    <w:p>
      <w:pPr>
        <w:pStyle w:val="BodyText"/>
      </w:pPr>
      <w:r>
        <w:t xml:space="preserve">Изменил текст программы (рис. 5 6),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bookmarkStart w:id="40" w:name="fig:005"/>
      <w:r>
        <w:drawing>
          <wp:inline>
            <wp:extent cx="4052235" cy="5361271"/>
            <wp:effectExtent b="0" l="0" r="0" t="0"/>
            <wp:docPr descr="Рис. 5: Код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5361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Код программы lab7-1.asm</w:t>
      </w:r>
    </w:p>
    <w:p>
      <w:pPr>
        <w:pStyle w:val="CaptionedFigure"/>
      </w:pPr>
      <w:bookmarkStart w:id="44" w:name="fig:006"/>
      <w:r>
        <w:drawing>
          <wp:inline>
            <wp:extent cx="5334000" cy="903392"/>
            <wp:effectExtent b="0" l="0" r="0" t="0"/>
            <wp:docPr descr="Рис. 6: Компиляция и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Компиляция и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то есть переход должен происходить, если выполнено какое-либо условие.</w:t>
      </w:r>
    </w:p>
    <w:p>
      <w:pPr>
        <w:pStyle w:val="BodyText"/>
      </w:pPr>
      <w:r>
        <w:t xml:space="preserve">Давайте рассмотрим программу, которая определяет и выводит на экран наибольшую из трех</w:t>
      </w:r>
      <w:r>
        <w:t xml:space="preserve"> </w:t>
      </w:r>
      <w:r>
        <w:t xml:space="preserve">целочисленных переменных: A, B и C. Значения для A и C задаются в программе,</w:t>
      </w:r>
      <w:r>
        <w:t xml:space="preserve"> </w:t>
      </w:r>
      <w:r>
        <w:t xml:space="preserve">а значение B вводится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 (рис. 7 8)</w:t>
      </w:r>
    </w:p>
    <w:p>
      <w:pPr>
        <w:pStyle w:val="CaptionedFigure"/>
      </w:pPr>
      <w:bookmarkStart w:id="48" w:name="fig:007"/>
      <w:r>
        <w:drawing>
          <wp:inline>
            <wp:extent cx="5334000" cy="6840404"/>
            <wp:effectExtent b="0" l="0" r="0" t="0"/>
            <wp:docPr descr="Рис. 7: Код программы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40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Код программы lab7-2.asm</w:t>
      </w:r>
    </w:p>
    <w:p>
      <w:pPr>
        <w:pStyle w:val="CaptionedFigure"/>
      </w:pPr>
      <w:bookmarkStart w:id="52" w:name="fig:008"/>
      <w:r>
        <w:drawing>
          <wp:inline>
            <wp:extent cx="5334000" cy="1151732"/>
            <wp:effectExtent b="0" l="0" r="0" t="0"/>
            <wp:docPr descr="Рис. 8: Компиляция и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Компиляция и запуск программы lab7-2.asm</w:t>
      </w:r>
    </w:p>
    <w:bookmarkEnd w:id="53"/>
    <w:bookmarkStart w:id="66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 (рис. 9)</w:t>
      </w:r>
    </w:p>
    <w:p>
      <w:pPr>
        <w:pStyle w:val="CaptionedFigure"/>
      </w:pPr>
      <w:bookmarkStart w:id="57" w:name="fig:009"/>
      <w:r>
        <w:drawing>
          <wp:inline>
            <wp:extent cx="5334000" cy="4058355"/>
            <wp:effectExtent b="0" l="0" r="0" t="0"/>
            <wp:docPr descr="Рис. 9: Файл листинга lab7-2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8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листинга.</w:t>
      </w:r>
    </w:p>
    <w:p>
      <w:pPr>
        <w:pStyle w:val="BodyText"/>
      </w:pPr>
      <w:r>
        <w:rPr>
          <w:iCs/>
          <w:i/>
        </w:rPr>
        <w:t xml:space="preserve">строка 194</w:t>
      </w:r>
    </w:p>
    <w:p>
      <w:pPr>
        <w:numPr>
          <w:ilvl w:val="0"/>
          <w:numId w:val="1001"/>
        </w:numPr>
      </w:pPr>
      <w:r>
        <w:t xml:space="preserve">17 - номер строки в подпрограмме</w:t>
      </w:r>
    </w:p>
    <w:p>
      <w:pPr>
        <w:numPr>
          <w:ilvl w:val="0"/>
          <w:numId w:val="1001"/>
        </w:numPr>
      </w:pPr>
      <w:r>
        <w:t xml:space="preserve">000000F2 - адрес</w:t>
      </w:r>
    </w:p>
    <w:p>
      <w:pPr>
        <w:numPr>
          <w:ilvl w:val="0"/>
          <w:numId w:val="1001"/>
        </w:numPr>
      </w:pPr>
      <w:r>
        <w:t xml:space="preserve">B9[0A000000] - машинный код</w:t>
      </w:r>
    </w:p>
    <w:p>
      <w:pPr>
        <w:numPr>
          <w:ilvl w:val="0"/>
          <w:numId w:val="1001"/>
        </w:numPr>
      </w:pPr>
      <w:r>
        <w:t xml:space="preserve">mov ecx,B - код программы - копирует B в ecx</w:t>
      </w:r>
    </w:p>
    <w:p>
      <w:pPr>
        <w:pStyle w:val="FirstParagraph"/>
      </w:pPr>
      <w:r>
        <w:rPr>
          <w:iCs/>
          <w:i/>
        </w:rPr>
        <w:t xml:space="preserve">строка 195</w:t>
      </w:r>
    </w:p>
    <w:p>
      <w:pPr>
        <w:numPr>
          <w:ilvl w:val="0"/>
          <w:numId w:val="1002"/>
        </w:numPr>
      </w:pPr>
      <w:r>
        <w:t xml:space="preserve">18 - номер строки в подпрограмме</w:t>
      </w:r>
    </w:p>
    <w:p>
      <w:pPr>
        <w:numPr>
          <w:ilvl w:val="0"/>
          <w:numId w:val="1002"/>
        </w:numPr>
      </w:pPr>
      <w:r>
        <w:t xml:space="preserve">000000F7 - адрес</w:t>
      </w:r>
    </w:p>
    <w:p>
      <w:pPr>
        <w:numPr>
          <w:ilvl w:val="0"/>
          <w:numId w:val="1002"/>
        </w:numPr>
      </w:pPr>
      <w:r>
        <w:t xml:space="preserve">BA0A000000 - машинный код</w:t>
      </w:r>
    </w:p>
    <w:p>
      <w:pPr>
        <w:numPr>
          <w:ilvl w:val="0"/>
          <w:numId w:val="1002"/>
        </w:numPr>
      </w:pPr>
      <w:r>
        <w:t xml:space="preserve">mov edx,10 - код программы - копирует 10 в edx</w:t>
      </w:r>
    </w:p>
    <w:p>
      <w:pPr>
        <w:pStyle w:val="FirstParagraph"/>
      </w:pPr>
      <w:r>
        <w:rPr>
          <w:iCs/>
          <w:i/>
        </w:rPr>
        <w:t xml:space="preserve">строка 196</w:t>
      </w:r>
    </w:p>
    <w:p>
      <w:pPr>
        <w:numPr>
          <w:ilvl w:val="0"/>
          <w:numId w:val="1003"/>
        </w:numPr>
      </w:pPr>
      <w:r>
        <w:t xml:space="preserve">19 - номер строки в подпрограмме</w:t>
      </w:r>
    </w:p>
    <w:p>
      <w:pPr>
        <w:numPr>
          <w:ilvl w:val="0"/>
          <w:numId w:val="1003"/>
        </w:numPr>
      </w:pPr>
      <w:r>
        <w:t xml:space="preserve">000000FC - адрес</w:t>
      </w:r>
    </w:p>
    <w:p>
      <w:pPr>
        <w:numPr>
          <w:ilvl w:val="0"/>
          <w:numId w:val="1003"/>
        </w:numPr>
      </w:pPr>
      <w:r>
        <w:t xml:space="preserve">E842FFFFFF - машинный код</w:t>
      </w:r>
    </w:p>
    <w:p>
      <w:pPr>
        <w:numPr>
          <w:ilvl w:val="0"/>
          <w:numId w:val="1003"/>
        </w:numPr>
      </w:pPr>
      <w:r>
        <w:t xml:space="preserve">call sread - код программы - вызов подпрограммы чтения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 (рис. 10) (рис. 11)</w:t>
      </w:r>
    </w:p>
    <w:p>
      <w:pPr>
        <w:pStyle w:val="CaptionedFigure"/>
      </w:pPr>
      <w:bookmarkStart w:id="61" w:name="fig:010"/>
      <w:r>
        <w:drawing>
          <wp:inline>
            <wp:extent cx="5334000" cy="786983"/>
            <wp:effectExtent b="0" l="0" r="0" t="0"/>
            <wp:docPr descr="Рис. 10: Ошибка трансляции lab7-2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bookmarkStart w:id="65" w:name="fig:011"/>
      <w:r>
        <w:drawing>
          <wp:inline>
            <wp:extent cx="5334000" cy="4066962"/>
            <wp:effectExtent b="0" l="0" r="0" t="0"/>
            <wp:docPr descr="Рис. 11: Файл листинга с ошибкой lab7-2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6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66"/>
    <w:bookmarkStart w:id="8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 (рис. 12) (рис. 13)</w:t>
      </w:r>
    </w:p>
    <w:p>
      <w:pPr>
        <w:pStyle w:val="BodyText"/>
      </w:pPr>
      <w:r>
        <w:t xml:space="preserve">Мой вариант 16 - числа: 44,74,17</w:t>
      </w:r>
    </w:p>
    <w:p>
      <w:pPr>
        <w:pStyle w:val="CaptionedFigure"/>
      </w:pPr>
      <w:bookmarkStart w:id="70" w:name="fig:012"/>
      <w:r>
        <w:drawing>
          <wp:inline>
            <wp:extent cx="4600875" cy="6853187"/>
            <wp:effectExtent b="0" l="0" r="0" t="0"/>
            <wp:docPr descr="Рис. 12: Код программы prog-1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6853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Код программы prog-1.asm</w:t>
      </w:r>
    </w:p>
    <w:p>
      <w:pPr>
        <w:pStyle w:val="CaptionedFigure"/>
      </w:pPr>
      <w:bookmarkStart w:id="74" w:name="fig:013"/>
      <w:r>
        <w:drawing>
          <wp:inline>
            <wp:extent cx="5334000" cy="886826"/>
            <wp:effectExtent b="0" l="0" r="0" t="0"/>
            <wp:docPr descr="Рис. 13: Компиляция и запуск программы prog-1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Компиляция и запуск программы prog-1.asm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 (рис. 14) (рис. 15)</w:t>
      </w:r>
    </w:p>
    <w:p>
      <w:pPr>
        <w:pStyle w:val="BodyText"/>
      </w:pPr>
      <w:r>
        <w:t xml:space="preserve">Мой вариант 16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4</m:t>
                    </m:r>
                  </m:e>
                </m:mr>
                <m:mr>
                  <m:e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4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4360244" cy="6997566"/>
            <wp:effectExtent b="0" l="0" r="0" t="0"/>
            <wp:docPr descr="Рис. 14: Код программы prog-2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699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Код программы prog-2.asm</w:t>
      </w:r>
    </w:p>
    <w:p>
      <w:pPr>
        <w:pStyle w:val="CaptionedFigure"/>
      </w:pPr>
      <w:bookmarkStart w:id="82" w:name="fig:015"/>
      <w:r>
        <w:drawing>
          <wp:inline>
            <wp:extent cx="5334000" cy="1301289"/>
            <wp:effectExtent b="0" l="0" r="0" t="0"/>
            <wp:docPr descr="Рис. 15: Компиляция и запуск программы prog-2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1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Компиляция и запуск программы prog-2.asm</w:t>
      </w:r>
    </w:p>
    <w:bookmarkEnd w:id="83"/>
    <w:bookmarkEnd w:id="84"/>
    <w:bookmarkStart w:id="8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Ушаков Данила Алексеевич</dc:creator>
  <dc:language>ru-RU</dc:language>
  <cp:keywords/>
  <dcterms:created xsi:type="dcterms:W3CDTF">2024-02-20T16:30:08Z</dcterms:created>
  <dcterms:modified xsi:type="dcterms:W3CDTF">2024-02-20T16:30:08Z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