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Catering supplier recommendation</w:t>
      </w:r>
    </w:p>
    <w:p>
      <w:r>
        <w:t>To: Programme Director</w:t>
        <w:br/>
        <w:t>Event: Leadership workshop, 20 November 2026</w:t>
        <w:br/>
        <w:t>Fictional training exercise</w:t>
      </w:r>
    </w:p>
    <w:p>
      <w:r>
        <w:rPr>
          <w:b/>
        </w:rPr>
        <w:t xml:space="preserve">Decision: Select Supplier B for 80 attendees at EUR 4,320 total payable. </w:t>
      </w:r>
      <w:r>
        <w:t>It is the lowest-cost supplier meeting all hard constraints on the supplied facts: the required service is included, the date is confirmed, and 80 attendees are within its 90-person capacity. Budget headroom is EUR 1,680.</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Supplier</w:t>
            </w:r>
          </w:p>
        </w:tc>
        <w:tc>
          <w:tcPr>
            <w:tcW w:type="dxa" w:w="3408"/>
          </w:tcPr>
          <w:p>
            <w:r>
              <w:t>Total payable</w:t>
            </w:r>
          </w:p>
        </w:tc>
        <w:tc>
          <w:tcPr>
            <w:tcW w:type="dxa" w:w="3408"/>
          </w:tcPr>
          <w:p>
            <w:r>
              <w:t>Assessment at 80</w:t>
            </w:r>
          </w:p>
        </w:tc>
      </w:tr>
      <w:tr>
        <w:tc>
          <w:tcPr>
            <w:tcW w:type="dxa" w:w="3408"/>
          </w:tcPr>
          <w:p>
            <w:r>
              <w:t>A</w:t>
            </w:r>
          </w:p>
        </w:tc>
        <w:tc>
          <w:tcPr>
            <w:tcW w:type="dxa" w:w="3408"/>
          </w:tcPr>
          <w:p>
            <w:r>
              <w:t>EUR 4,750.80</w:t>
            </w:r>
          </w:p>
        </w:tc>
        <w:tc>
          <w:tcPr>
            <w:tcW w:type="dxa" w:w="3408"/>
          </w:tcPr>
          <w:p>
            <w:r>
              <w:t>Eligible; EUR 430.80 above B</w:t>
            </w:r>
          </w:p>
        </w:tc>
      </w:tr>
      <w:tr>
        <w:tc>
          <w:tcPr>
            <w:tcW w:type="dxa" w:w="3408"/>
          </w:tcPr>
          <w:p>
            <w:r>
              <w:t>B</w:t>
            </w:r>
          </w:p>
        </w:tc>
        <w:tc>
          <w:tcPr>
            <w:tcW w:type="dxa" w:w="3408"/>
          </w:tcPr>
          <w:p>
            <w:r>
              <w:t>EUR 4,320.00</w:t>
            </w:r>
          </w:p>
        </w:tc>
        <w:tc>
          <w:tcPr>
            <w:tcW w:type="dxa" w:w="3408"/>
          </w:tcPr>
          <w:p>
            <w:r>
              <w:t>Eligible; recommended</w:t>
            </w:r>
          </w:p>
        </w:tc>
      </w:tr>
      <w:tr>
        <w:tc>
          <w:tcPr>
            <w:tcW w:type="dxa" w:w="3408"/>
          </w:tcPr>
          <w:p>
            <w:r>
              <w:t>C</w:t>
            </w:r>
          </w:p>
        </w:tc>
        <w:tc>
          <w:tcPr>
            <w:tcW w:type="dxa" w:w="3408"/>
          </w:tcPr>
          <w:p>
            <w:r>
              <w:t>EUR 4,660.00</w:t>
            </w:r>
          </w:p>
        </w:tc>
        <w:tc>
          <w:tcPr>
            <w:tcW w:type="dxa" w:w="3408"/>
          </w:tcPr>
          <w:p>
            <w:r>
              <w:t>Date unconfirmed; not approvable</w:t>
            </w:r>
          </w:p>
        </w:tc>
      </w:tr>
    </w:tbl>
    <w:p>
      <w:pPr>
        <w:pStyle w:val="Heading2"/>
      </w:pPr>
      <w:r>
        <w:t>Cost evidence</w:t>
      </w:r>
    </w:p>
    <w:p>
      <w:r>
        <w:t>A: 80 × EUR 48 = EUR 3,840; add 12% × EUR 3,840 = EUR 460.80 and EUR 450 delivery/setup. The quoted EUR 4,290 summary excludes the compulsory charge. [A, A-001 and Terms]</w:t>
      </w:r>
    </w:p>
    <w:p>
      <w:r>
        <w:t>B: 80 × EUR 54 = EUR 4,320, including delivery, setup and staffing. No additional charges apply. [B, B-001]</w:t>
      </w:r>
    </w:p>
    <w:p>
      <w:r>
        <w:t>C: max(80, 90) × EUR 44 + EUR 700 = EUR 4,660. Paying for 90 people is compulsory even with 80 attending. Written date confirmation is required before approval. [C, C-001]</w:t>
      </w:r>
    </w:p>
    <w:p>
      <w:pPr>
        <w:pStyle w:val="Heading2"/>
      </w:pPr>
      <w:r>
        <w:t>Assumptions and unresolved questions</w:t>
      </w:r>
    </w:p>
    <w:p>
      <w:r>
        <w:t>The recommendation assumes the initial attendance remains 80. All prices include applicable taxes, and menu and service scope are equivalent as stated in the brief. No quality or reliability differences are assumed.</w:t>
      </w:r>
    </w:p>
    <w:p>
      <w:r>
        <w:t>Confirm the final headcount and whether it could exceed 90. B has only 10 places of remaining capacity; additional capacity is not offered. Any attendance change requires a fresh cost and eligibility review. A can serve up to 120 and C up to 150, but capacity alone does not establish budget compliance. [A–C]</w:t>
      </w:r>
    </w:p>
    <w:p>
      <w:r>
        <w:t>For C, the unresolved hard constraint is written availability confirmation for 20 November 2026. At 80 attendees, even confirmation would leave C EUR 340 above B. Approval requires all hard constraints to remain confirmed. This exercise authorises no supplier contact or booking.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