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B6DE2" w14:textId="4280268C" w:rsidR="00971968" w:rsidRDefault="00EC59AD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>K비대면바우처 8만개 2달 만에 조기마감...</w:t>
      </w:r>
      <w:proofErr w:type="spellStart"/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>공급·수요기업</w:t>
      </w:r>
      <w:proofErr w:type="spellEnd"/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 xml:space="preserve"> "사업 확대" 한목소리</w:t>
      </w:r>
    </w:p>
    <w:p w14:paraId="49539AE8" w14:textId="276A8C27" w:rsidR="00EC59AD" w:rsidRDefault="00EC59AD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</w:p>
    <w:p w14:paraId="3D8F6DCA" w14:textId="43179492" w:rsidR="00EC59AD" w:rsidRDefault="00EC59AD">
      <w:pPr>
        <w:rPr>
          <w:rFonts w:hint="eastAsia"/>
        </w:rPr>
      </w:pP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재택·원격근무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필요성 커지면서</w:t>
      </w:r>
      <w:r>
        <w:rPr>
          <w:rFonts w:hint="eastAsia"/>
          <w:b/>
          <w:bCs/>
          <w:color w:val="000000"/>
          <w:spacing w:val="-5"/>
          <w:sz w:val="26"/>
          <w:szCs w:val="26"/>
          <w:shd w:val="clear" w:color="auto" w:fill="FFFFFF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中企·벤처 디지털전환 수요 몰려</w:t>
      </w:r>
      <w:r>
        <w:rPr>
          <w:rFonts w:hint="eastAsia"/>
          <w:b/>
          <w:bCs/>
          <w:color w:val="000000"/>
          <w:spacing w:val="-5"/>
          <w:sz w:val="26"/>
          <w:szCs w:val="26"/>
          <w:shd w:val="clear" w:color="auto" w:fill="FFFFFF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공급업체도 추가사업 관심 늘어</w:t>
      </w:r>
      <w:r>
        <w:rPr>
          <w:rFonts w:hint="eastAsia"/>
          <w:b/>
          <w:bCs/>
          <w:color w:val="000000"/>
          <w:spacing w:val="-5"/>
          <w:sz w:val="26"/>
          <w:szCs w:val="26"/>
          <w:shd w:val="clear" w:color="auto" w:fill="FFFFFF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정부, 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육성 적극 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지원해야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정부의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바우처 수요기업 모집이 조기 마감됐다. 서비스 개시 2개월 만에 8만개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중소·벤처기업이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몰렸다. 디지털 전환을 위한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중소·벤처기업의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수요는 정부 예상보다 훨씬 많았다.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공급기업의 추가 사업 참여 욕구도 크다. 시장 수요까지 확인된 만큼 정부가 예산 확대와 지속 가능 사업을 통해 디지털 경제로의 대전환을 적극 지원해야 한다는 목소리가 커지고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22일 업계에 따르면 중소벤처기업부는 23일 오후 6시부로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서비스 바우처 사업에 참가할 수요기업 모집을 마감한다. 이미 8만개에 이르는 수요기업이 신청을 완료했기 때문이다. 23일 마감 시간까지 접수를 마친 기업이라 해도 지원 예산 소진으로 올해 지원을 받지 못할 수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서비스 바우처 사업은 코로나19 확산으로 중소기업의 디지털 전환을 지원하기 위해 올해 도입됐다. 올해 3차 추가경정예산과 내년도 본예산에 2880억원씩 총 5760억원을 투입, 2년간 16만개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중소·벤처기업에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원격지원·재택근무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솔루션 등을 공급한다. 기업당 400만원 한도로 지원한다.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사업이 처음 도입될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때까지만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해도 정부가 지나치게 많은 기업을 수혜 대상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 xml:space="preserve">으로 잡은 것 아니냐는 지적이 국회와 업계 안팎에서 끊이질 않았다. 시장 확대를 기대한 솔루션 공급기업은 너나 할 것 없이 뛰어든 데 비해 수요기업 신청은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더뎠다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. 서비스 개시 직전인 지난 9월 17일까지 수요기업 수는 5400개사에 불과했다. 애초 목표의 10%도 채우지 못했다.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서비스 개시 직후부터는 상황이 크게 달라졌다. 일 평균 1500개에 이르는 기업이 새로 참여를 신청했다. 이처럼 2개월 만에 수요기업의 관심이 급증한 주된 이유는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중소·벤처기업이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원격·재택근무에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대한 필요성을 뒤늦게 인지한 것으로 풀이된다.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중소기업 한 관계자는 “결제 수단이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다양해졌을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뿐만 아니라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바우처가 생각보다 많은 분야에 적용할 수 있다는 점을 뒤늦게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파악했다”고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말했다.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지원 체계도 명확해지고 있다. 중기부와 창업진흥원은 지난 12일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바우처 사업에 대한 관리지침을 확정했다. 재판매업자의 참여를 금하고, 우수 공급기업에 대한 인센티브 제공이 핵심이다. 이를 통해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솔루션 공급업체의 '옥석 가리기'가 이뤄졌다.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담당 부서의 정책 지원도 계속될 예정이다. 사업을 총괄하는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비대면경제과는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지난 5월 코로나19 확산에 따라 6개월 단위의 한시 조직으로 꾸려졌다. 그러나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바우처 사업 성과를 인정받아 최근 행정안전부로부터 6개월의 추가 운영을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승인받았다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lastRenderedPageBreak/>
        <w:drawing>
          <wp:inline distT="0" distB="0" distL="0" distR="0" wp14:anchorId="4BF2270B" wp14:editId="74E9A97A">
            <wp:extent cx="3774440" cy="61029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K비대면서비스바우처 사업 수요기업 모집이 23일 오후 6시부로 마감한다. 사진은 중소벤처기업부가 K비대면바우처플랫폼에 공지한 수요기업 모집 종료 팝업이다.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문제는 내년도 사업이다. 이런 추세라면 내년도 사업에도 수요기업 신청이 몰려들 것이 유력하다.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내년도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바우처 사업 예산은 올해와 같은 수준인 2880억원으로 편성됐다. 국회를 중심으로 불거진 수요기업의 참여 부진 우려로 인해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바우처 사업에는 기대만큼 많은 예산이 편성되지 못했다. 올해 사업으로 혜택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>을 본 8만개 수요기업에 더해 올해 기회를 얻지 못한 기업을 포함하면 내년 수요는 더욱 커질 공산이 크다.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공급기업의 관심도 날로 커지고 있다. 소프트웨어(SW) 분야 전반으로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바우처 서비스 사업 범위를 확대해야 한다는 요구가 잇따르고 있다. 중기부는 참여 공급업체를 추가해 달라는 업계의 요구가 많다고 밝혔다. 이와 함께 수요기업의 디지털 전환을 유도하기 위한 교육과 홍보 역시 필요해 보인다.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이병헌 중소기업연구원장은 “과거 참여정부에서 실시한 중소기업 전사자원관리(ERP) 보급 사업이 결국 지금의 중견 SW 기업을 만들어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냈다”면서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“이번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바우처 사업을 통해 글로벌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기업을 기르는 한편 중소기업 전반에 걸친 디지털 전환도 가속하도록 정책을 펼쳐 나가야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한다”고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강조했다.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유근일기자 ryuryu@etnews.com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drawing>
          <wp:inline distT="0" distB="0" distL="0" distR="0" wp14:anchorId="23D0A2BF" wp14:editId="2B4F0B3B">
            <wp:extent cx="5731510" cy="38239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lastRenderedPageBreak/>
        <w:br/>
      </w:r>
      <w:hyperlink r:id="rId6" w:tgtFrame="_blank" w:history="1">
        <w:r>
          <w:rPr>
            <w:rStyle w:val="a5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 "제3회 커넥티드 클라우드 인사이트 2020" 11월 27일 온라인 생중계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hyperlink r:id="rId7" w:tgtFrame="_blank" w:history="1">
        <w:r>
          <w:rPr>
            <w:rStyle w:val="a5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 네이버 홈에서 [전자신문] 구독하기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1"/>
          <w:szCs w:val="21"/>
          <w:shd w:val="clear" w:color="auto" w:fill="FFFFFF"/>
        </w:rPr>
        <w:t xml:space="preserve">[Copyright ⓒ 전자신문 &amp; 전자신문인터넷, 무단전재 및 </w:t>
      </w:r>
      <w:proofErr w:type="spellStart"/>
      <w:r>
        <w:rPr>
          <w:rFonts w:hint="eastAsia"/>
          <w:color w:val="000000"/>
          <w:spacing w:val="-5"/>
          <w:sz w:val="21"/>
          <w:szCs w:val="21"/>
          <w:shd w:val="clear" w:color="auto" w:fill="FFFFFF"/>
        </w:rPr>
        <w:t>재배포</w:t>
      </w:r>
      <w:proofErr w:type="spellEnd"/>
      <w:r>
        <w:rPr>
          <w:rFonts w:hint="eastAsia"/>
          <w:color w:val="000000"/>
          <w:spacing w:val="-5"/>
          <w:sz w:val="21"/>
          <w:szCs w:val="21"/>
          <w:shd w:val="clear" w:color="auto" w:fill="FFFFFF"/>
        </w:rPr>
        <w:t xml:space="preserve"> 금지]</w:t>
      </w:r>
    </w:p>
    <w:sectPr w:rsidR="00EC5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AD"/>
    <w:rsid w:val="005E0A27"/>
    <w:rsid w:val="00D447A0"/>
    <w:rsid w:val="00E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5008"/>
  <w15:chartTrackingRefBased/>
  <w15:docId w15:val="{1EE4D59C-6A93-401B-8A39-D952E4C9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C59AD"/>
    <w:rPr>
      <w:b/>
      <w:bCs/>
    </w:rPr>
  </w:style>
  <w:style w:type="character" w:styleId="a4">
    <w:name w:val="Emphasis"/>
    <w:basedOn w:val="a0"/>
    <w:uiPriority w:val="20"/>
    <w:qFormat/>
    <w:rsid w:val="00EC59AD"/>
    <w:rPr>
      <w:i/>
      <w:iCs/>
    </w:rPr>
  </w:style>
  <w:style w:type="character" w:styleId="a5">
    <w:name w:val="Hyperlink"/>
    <w:basedOn w:val="a0"/>
    <w:uiPriority w:val="99"/>
    <w:semiHidden/>
    <w:unhideWhenUsed/>
    <w:rsid w:val="00EC5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tnews.com/tools/redirect_log.html?url=https%3A%2F%2Fmedia.naver.com%2Fchannel%2Fpromotion.nhn%3Foid%3D030%26naver_promotion&amp;pm=45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news.com/tools/redirect_log.html?url=https%3A%2F%2Fwww.etnews.com%2F20201112000223&amp;pm=9966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2020-11-23T05:55:00Z</dcterms:created>
  <dcterms:modified xsi:type="dcterms:W3CDTF">2020-11-23T05:56:00Z</dcterms:modified>
</cp:coreProperties>
</file>