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88E" w:rsidRPr="00C96186" w:rsidRDefault="00C225B6" w:rsidP="00C225B6">
      <w:pPr>
        <w:pStyle w:val="Heading1"/>
        <w:jc w:val="center"/>
        <w:rPr>
          <w:b/>
          <w:color w:val="538135" w:themeColor="accent6" w:themeShade="BF"/>
          <w:sz w:val="40"/>
          <w:szCs w:val="40"/>
          <w:u w:val="single"/>
        </w:rPr>
      </w:pPr>
      <w:r w:rsidRPr="00C96186">
        <w:rPr>
          <w:b/>
          <w:color w:val="538135" w:themeColor="accent6" w:themeShade="BF"/>
          <w:sz w:val="40"/>
          <w:szCs w:val="40"/>
          <w:u w:val="single"/>
        </w:rPr>
        <w:t>Dictionary of Health, Nutrition and Welfare Indicators</w:t>
      </w:r>
    </w:p>
    <w:p w:rsidR="00C225B6" w:rsidRDefault="00C225B6" w:rsidP="00C225B6"/>
    <w:p w:rsidR="00C225B6" w:rsidRPr="00054FE2" w:rsidRDefault="00C225B6" w:rsidP="00C96186">
      <w:pPr>
        <w:jc w:val="both"/>
        <w:rPr>
          <w:i/>
        </w:rPr>
      </w:pPr>
    </w:p>
    <w:p w:rsidR="00C225B6" w:rsidRDefault="00757169" w:rsidP="00C96186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i/>
          <w:sz w:val="28"/>
          <w:szCs w:val="28"/>
        </w:rPr>
      </w:pPr>
      <w:r w:rsidRPr="00054FE2">
        <w:rPr>
          <w:rFonts w:asciiTheme="majorHAnsi" w:hAnsiTheme="majorHAnsi"/>
          <w:i/>
          <w:sz w:val="28"/>
          <w:szCs w:val="28"/>
        </w:rPr>
        <w:t>Anthropometric measures</w:t>
      </w:r>
    </w:p>
    <w:p w:rsidR="00C96186" w:rsidRDefault="00C96186" w:rsidP="00C96186">
      <w:pPr>
        <w:jc w:val="both"/>
        <w:rPr>
          <w:rFonts w:asciiTheme="majorHAnsi" w:hAnsiTheme="majorHAnsi"/>
          <w:b/>
          <w:sz w:val="24"/>
          <w:szCs w:val="24"/>
        </w:rPr>
      </w:pPr>
    </w:p>
    <w:p w:rsidR="00C96186" w:rsidRDefault="00C96186" w:rsidP="00C96186">
      <w:pPr>
        <w:jc w:val="both"/>
        <w:rPr>
          <w:rFonts w:asciiTheme="majorHAnsi" w:hAnsiTheme="majorHAnsi"/>
          <w:b/>
          <w:sz w:val="24"/>
          <w:szCs w:val="24"/>
        </w:rPr>
      </w:pPr>
      <w:r w:rsidRPr="00054FE2">
        <w:rPr>
          <w:rFonts w:asciiTheme="majorHAnsi" w:hAnsiTheme="majorHAnsi"/>
          <w:b/>
          <w:sz w:val="24"/>
          <w:szCs w:val="24"/>
        </w:rPr>
        <w:t>B</w:t>
      </w:r>
      <w:r w:rsidR="00565BBF">
        <w:rPr>
          <w:rFonts w:asciiTheme="majorHAnsi" w:hAnsiTheme="majorHAnsi"/>
          <w:b/>
          <w:sz w:val="24"/>
          <w:szCs w:val="24"/>
        </w:rPr>
        <w:t xml:space="preserve">ody Mass Index </w:t>
      </w:r>
      <w:r w:rsidRPr="00054FE2">
        <w:rPr>
          <w:rFonts w:asciiTheme="majorHAnsi" w:hAnsiTheme="majorHAnsi"/>
          <w:b/>
          <w:sz w:val="24"/>
          <w:szCs w:val="24"/>
        </w:rPr>
        <w:t>(BMI)</w:t>
      </w:r>
      <w:r>
        <w:rPr>
          <w:rFonts w:asciiTheme="majorHAnsi" w:hAnsiTheme="majorHAnsi"/>
          <w:b/>
          <w:sz w:val="24"/>
          <w:szCs w:val="24"/>
        </w:rPr>
        <w:t>:</w:t>
      </w:r>
    </w:p>
    <w:p w:rsidR="00C96186" w:rsidRDefault="00C96186" w:rsidP="00C96186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BMI quantifies the amount of tissue mass (muscle, fat and bone) </w:t>
      </w:r>
      <w:r w:rsidR="00C905D4">
        <w:rPr>
          <w:rFonts w:asciiTheme="majorHAnsi" w:hAnsiTheme="majorHAnsi"/>
          <w:sz w:val="24"/>
          <w:szCs w:val="24"/>
        </w:rPr>
        <w:t xml:space="preserve">present </w:t>
      </w:r>
      <w:r>
        <w:rPr>
          <w:rFonts w:asciiTheme="majorHAnsi" w:hAnsiTheme="majorHAnsi"/>
          <w:sz w:val="24"/>
          <w:szCs w:val="24"/>
        </w:rPr>
        <w:t>in an individual and is computed as following:</w:t>
      </w:r>
    </w:p>
    <w:p w:rsidR="00C96186" w:rsidRPr="00BB753E" w:rsidRDefault="00C96186" w:rsidP="00C96186">
      <w:pPr>
        <w:jc w:val="both"/>
        <w:rPr>
          <w:rFonts w:asciiTheme="majorHAnsi" w:eastAsiaTheme="minorEastAsia" w:hAnsiTheme="majorHAns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BMI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weight (kg)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height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>)</m:t>
              </m:r>
            </m:den>
          </m:f>
        </m:oMath>
      </m:oMathPara>
    </w:p>
    <w:p w:rsidR="00C96186" w:rsidRDefault="00C96186" w:rsidP="00C96186">
      <w:pPr>
        <w:jc w:val="both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Healthy values of BMI fall between 18.5 and 25. </w:t>
      </w:r>
    </w:p>
    <w:p w:rsidR="00C96186" w:rsidRPr="00BB753E" w:rsidRDefault="00C96186" w:rsidP="00C96186">
      <w:pPr>
        <w:jc w:val="both"/>
        <w:rPr>
          <w:rFonts w:asciiTheme="majorHAnsi" w:hAnsiTheme="majorHAnsi"/>
          <w:sz w:val="24"/>
          <w:szCs w:val="24"/>
        </w:rPr>
      </w:pPr>
    </w:p>
    <w:p w:rsidR="00C96186" w:rsidRPr="00054FE2" w:rsidRDefault="00C96186" w:rsidP="00C96186">
      <w:pPr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W</w:t>
      </w:r>
      <w:r w:rsidRPr="00054FE2">
        <w:rPr>
          <w:rFonts w:asciiTheme="majorHAnsi" w:hAnsiTheme="majorHAnsi"/>
          <w:b/>
          <w:sz w:val="24"/>
          <w:szCs w:val="24"/>
        </w:rPr>
        <w:t>eight for height score (WHZ)</w:t>
      </w:r>
      <w:r>
        <w:rPr>
          <w:rFonts w:asciiTheme="majorHAnsi" w:hAnsiTheme="majorHAnsi"/>
          <w:b/>
          <w:sz w:val="24"/>
          <w:szCs w:val="24"/>
        </w:rPr>
        <w:t>, height for age score (HAZ),</w:t>
      </w:r>
      <w:r w:rsidRPr="00054FE2">
        <w:rPr>
          <w:rFonts w:asciiTheme="majorHAnsi" w:hAnsiTheme="majorHAnsi"/>
          <w:b/>
          <w:sz w:val="24"/>
          <w:szCs w:val="24"/>
        </w:rPr>
        <w:t xml:space="preserve"> Weight for age score (WA</w:t>
      </w:r>
      <w:r>
        <w:rPr>
          <w:rFonts w:asciiTheme="majorHAnsi" w:hAnsiTheme="majorHAnsi"/>
          <w:b/>
          <w:sz w:val="24"/>
          <w:szCs w:val="24"/>
        </w:rPr>
        <w:t xml:space="preserve">Z) </w:t>
      </w:r>
      <w:r w:rsidRPr="00054FE2">
        <w:rPr>
          <w:rFonts w:asciiTheme="majorHAnsi" w:hAnsiTheme="majorHAnsi"/>
          <w:b/>
          <w:sz w:val="24"/>
          <w:szCs w:val="24"/>
        </w:rPr>
        <w:t>and related measure</w:t>
      </w:r>
      <w:r>
        <w:rPr>
          <w:rFonts w:asciiTheme="majorHAnsi" w:hAnsiTheme="majorHAnsi"/>
          <w:b/>
          <w:sz w:val="24"/>
          <w:szCs w:val="24"/>
        </w:rPr>
        <w:t>s</w:t>
      </w:r>
      <w:r w:rsidRPr="00054FE2">
        <w:rPr>
          <w:rFonts w:asciiTheme="majorHAnsi" w:hAnsiTheme="majorHAnsi"/>
          <w:b/>
          <w:sz w:val="24"/>
          <w:szCs w:val="24"/>
        </w:rPr>
        <w:t xml:space="preserve"> of malnut</w:t>
      </w:r>
      <w:r>
        <w:rPr>
          <w:rFonts w:asciiTheme="majorHAnsi" w:hAnsiTheme="majorHAnsi"/>
          <w:b/>
          <w:sz w:val="24"/>
          <w:szCs w:val="24"/>
        </w:rPr>
        <w:t>rition:</w:t>
      </w:r>
    </w:p>
    <w:p w:rsidR="00C905D4" w:rsidRDefault="00C96186" w:rsidP="00C96186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three indicators WHZ, HAZ and WAZ compare different aspects of the anthropometric development of </w:t>
      </w:r>
      <w:r w:rsidR="00C905D4">
        <w:rPr>
          <w:rFonts w:asciiTheme="majorHAnsi" w:hAnsiTheme="majorHAnsi"/>
          <w:sz w:val="24"/>
          <w:szCs w:val="24"/>
        </w:rPr>
        <w:t>a particular</w:t>
      </w:r>
      <w:r>
        <w:rPr>
          <w:rFonts w:asciiTheme="majorHAnsi" w:hAnsiTheme="majorHAnsi"/>
          <w:sz w:val="24"/>
          <w:szCs w:val="24"/>
        </w:rPr>
        <w:t xml:space="preserve"> child to the </w:t>
      </w:r>
      <w:r w:rsidR="00C905D4">
        <w:rPr>
          <w:rFonts w:asciiTheme="majorHAnsi" w:hAnsiTheme="majorHAnsi"/>
          <w:sz w:val="24"/>
          <w:szCs w:val="24"/>
        </w:rPr>
        <w:t>levels of the</w:t>
      </w:r>
      <w:r>
        <w:rPr>
          <w:rFonts w:asciiTheme="majorHAnsi" w:hAnsiTheme="majorHAnsi"/>
          <w:sz w:val="24"/>
          <w:szCs w:val="24"/>
        </w:rPr>
        <w:t xml:space="preserve"> reference population</w:t>
      </w:r>
      <w:r w:rsidR="00C905D4">
        <w:rPr>
          <w:rFonts w:asciiTheme="majorHAnsi" w:hAnsiTheme="majorHAnsi"/>
          <w:sz w:val="24"/>
          <w:szCs w:val="24"/>
        </w:rPr>
        <w:t xml:space="preserve"> and allow to define thresholds for malnourishment.</w:t>
      </w:r>
      <w:r>
        <w:rPr>
          <w:rFonts w:asciiTheme="majorHAnsi" w:hAnsiTheme="majorHAnsi"/>
          <w:sz w:val="24"/>
          <w:szCs w:val="24"/>
        </w:rPr>
        <w:t xml:space="preserve"> </w:t>
      </w:r>
      <w:r w:rsidR="00C905D4">
        <w:rPr>
          <w:rFonts w:asciiTheme="majorHAnsi" w:hAnsiTheme="majorHAnsi"/>
          <w:sz w:val="24"/>
          <w:szCs w:val="24"/>
        </w:rPr>
        <w:t xml:space="preserve">Z-scores are </w:t>
      </w:r>
      <w:r>
        <w:rPr>
          <w:rFonts w:asciiTheme="majorHAnsi" w:hAnsiTheme="majorHAnsi"/>
          <w:sz w:val="24"/>
          <w:szCs w:val="24"/>
        </w:rPr>
        <w:t xml:space="preserve">computed as follows: </w:t>
      </w:r>
    </w:p>
    <w:p w:rsidR="00C96186" w:rsidRDefault="00C96186" w:rsidP="00C96186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</w:p>
    <w:p w:rsidR="00C96186" w:rsidRPr="00054FE2" w:rsidRDefault="00C96186" w:rsidP="00C96186">
      <w:pPr>
        <w:jc w:val="both"/>
        <w:rPr>
          <w:rFonts w:cstheme="minorHAns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Zscore=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observed value-median value of the reference population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standard deviation value of the reference population</m:t>
              </m:r>
            </m:den>
          </m:f>
        </m:oMath>
      </m:oMathPara>
    </w:p>
    <w:p w:rsidR="00C96186" w:rsidRDefault="00C96186" w:rsidP="00C961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6186" w:rsidRDefault="00C96186" w:rsidP="00C9618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WHO provides the following interpretation of the different indicators</w:t>
      </w:r>
      <w:r>
        <w:rPr>
          <w:rStyle w:val="FootnoteReference"/>
          <w:rFonts w:cstheme="minorHAnsi"/>
          <w:sz w:val="24"/>
          <w:szCs w:val="24"/>
        </w:rPr>
        <w:footnoteReference w:id="1"/>
      </w:r>
      <w:r>
        <w:rPr>
          <w:rFonts w:cstheme="minorHAnsi"/>
          <w:sz w:val="24"/>
          <w:szCs w:val="24"/>
        </w:rPr>
        <w:t xml:space="preserve">: </w:t>
      </w:r>
    </w:p>
    <w:p w:rsidR="00C96186" w:rsidRPr="0092214B" w:rsidRDefault="00C96186" w:rsidP="00C9618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96186" w:rsidRDefault="00C96186" w:rsidP="00C961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2214B">
        <w:rPr>
          <w:rFonts w:cstheme="minorHAnsi"/>
          <w:b/>
          <w:bCs/>
          <w:sz w:val="24"/>
          <w:szCs w:val="24"/>
        </w:rPr>
        <w:t xml:space="preserve">Low </w:t>
      </w:r>
      <w:r>
        <w:rPr>
          <w:rFonts w:cstheme="minorHAnsi"/>
          <w:b/>
          <w:bCs/>
          <w:sz w:val="24"/>
          <w:szCs w:val="24"/>
        </w:rPr>
        <w:t>WHZ</w:t>
      </w:r>
      <w:r w:rsidRPr="0092214B"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b/>
          <w:bCs/>
          <w:sz w:val="24"/>
          <w:szCs w:val="24"/>
        </w:rPr>
        <w:t>“</w:t>
      </w:r>
      <w:r w:rsidRPr="0092214B">
        <w:rPr>
          <w:rFonts w:cstheme="minorHAnsi"/>
          <w:sz w:val="24"/>
          <w:szCs w:val="24"/>
        </w:rPr>
        <w:t>Wasting or thinness indicates in most cases a recent and severe process of weight loss, which is often associated with acute starvation and/or severe disease. However, wasting may also be the result of a chronic unfavorable condition. Provided there is no severe food shortage, the prevalence of wasting is usually below 5%, even in poor countries.</w:t>
      </w:r>
      <w:r>
        <w:rPr>
          <w:rFonts w:cstheme="minorHAnsi"/>
          <w:sz w:val="24"/>
          <w:szCs w:val="24"/>
        </w:rPr>
        <w:t>”</w:t>
      </w:r>
    </w:p>
    <w:p w:rsidR="00C96186" w:rsidRPr="00BB753E" w:rsidRDefault="00C96186" w:rsidP="00C9618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96186" w:rsidRDefault="00C96186" w:rsidP="00C961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52C8D">
        <w:rPr>
          <w:rFonts w:cstheme="minorHAnsi"/>
          <w:b/>
          <w:bCs/>
          <w:sz w:val="24"/>
          <w:szCs w:val="24"/>
        </w:rPr>
        <w:t xml:space="preserve">Low </w:t>
      </w:r>
      <w:r w:rsidR="00565BBF">
        <w:rPr>
          <w:rFonts w:cstheme="minorHAnsi"/>
          <w:b/>
          <w:bCs/>
          <w:sz w:val="24"/>
          <w:szCs w:val="24"/>
        </w:rPr>
        <w:t>HAZ</w:t>
      </w:r>
      <w:r w:rsidRPr="00852C8D"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b/>
          <w:bCs/>
          <w:sz w:val="24"/>
          <w:szCs w:val="24"/>
        </w:rPr>
        <w:t>“</w:t>
      </w:r>
      <w:r w:rsidRPr="00852C8D">
        <w:rPr>
          <w:rFonts w:cstheme="minorHAnsi"/>
          <w:sz w:val="24"/>
          <w:szCs w:val="24"/>
        </w:rPr>
        <w:t xml:space="preserve">Stunted growth reflects a process of failure to reach linear growth potential as a result of suboptimal health and/or nutritional conditions. On a population basis, high levels of stunting are associated with poor socioeconomic conditions and increased risk </w:t>
      </w:r>
      <w:r w:rsidRPr="00852C8D">
        <w:rPr>
          <w:rFonts w:cstheme="minorHAnsi"/>
          <w:sz w:val="24"/>
          <w:szCs w:val="24"/>
        </w:rPr>
        <w:lastRenderedPageBreak/>
        <w:t>of frequent and early exposure to adverse conditions such as illness and/or inappropriate feeding practices.</w:t>
      </w:r>
      <w:r>
        <w:rPr>
          <w:rFonts w:cstheme="minorHAnsi"/>
          <w:sz w:val="24"/>
          <w:szCs w:val="24"/>
        </w:rPr>
        <w:t>”</w:t>
      </w:r>
    </w:p>
    <w:p w:rsidR="00C96186" w:rsidRPr="00BB753E" w:rsidRDefault="00C96186" w:rsidP="00C9618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96186" w:rsidRPr="00BB753E" w:rsidRDefault="00C96186" w:rsidP="00C961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B753E">
        <w:rPr>
          <w:rFonts w:cstheme="minorHAnsi"/>
          <w:b/>
          <w:bCs/>
          <w:sz w:val="24"/>
          <w:szCs w:val="24"/>
        </w:rPr>
        <w:t xml:space="preserve">Low </w:t>
      </w:r>
      <w:r w:rsidR="00565BBF">
        <w:rPr>
          <w:rFonts w:cstheme="minorHAnsi"/>
          <w:b/>
          <w:bCs/>
          <w:sz w:val="24"/>
          <w:szCs w:val="24"/>
        </w:rPr>
        <w:t>WAZ</w:t>
      </w:r>
      <w:r w:rsidRPr="00BB753E"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b/>
          <w:bCs/>
          <w:sz w:val="24"/>
          <w:szCs w:val="24"/>
        </w:rPr>
        <w:t>“</w:t>
      </w:r>
      <w:r w:rsidRPr="00BB753E">
        <w:rPr>
          <w:rFonts w:cstheme="minorHAnsi"/>
          <w:sz w:val="24"/>
          <w:szCs w:val="24"/>
        </w:rPr>
        <w:t>Weight-for-age reflects body mass relative to chronological age. It is influenced by both the height of the child (height-for-age) and his or her weight (weight-for-height), and its composite nature makes interpretation complex.</w:t>
      </w:r>
      <w:r>
        <w:rPr>
          <w:rFonts w:cstheme="minorHAnsi"/>
          <w:sz w:val="24"/>
          <w:szCs w:val="24"/>
        </w:rPr>
        <w:t>”</w:t>
      </w:r>
    </w:p>
    <w:p w:rsidR="00C96186" w:rsidRDefault="00C96186" w:rsidP="00C96186">
      <w:pPr>
        <w:jc w:val="both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96186" w:rsidTr="001C7F7C">
        <w:tc>
          <w:tcPr>
            <w:tcW w:w="4675" w:type="dxa"/>
            <w:tcBorders>
              <w:bottom w:val="double" w:sz="4" w:space="0" w:color="auto"/>
            </w:tcBorders>
            <w:shd w:val="clear" w:color="auto" w:fill="FFFFFF" w:themeFill="background1"/>
          </w:tcPr>
          <w:p w:rsidR="00C96186" w:rsidRPr="00BB753E" w:rsidRDefault="00C96186" w:rsidP="001C7F7C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BB753E">
              <w:rPr>
                <w:rFonts w:cstheme="minorHAnsi"/>
                <w:b/>
                <w:sz w:val="24"/>
                <w:szCs w:val="24"/>
              </w:rPr>
              <w:t>WASTING</w:t>
            </w:r>
          </w:p>
        </w:tc>
        <w:tc>
          <w:tcPr>
            <w:tcW w:w="4675" w:type="dxa"/>
            <w:tcBorders>
              <w:bottom w:val="double" w:sz="4" w:space="0" w:color="auto"/>
            </w:tcBorders>
            <w:shd w:val="clear" w:color="auto" w:fill="FFFFFF" w:themeFill="background1"/>
          </w:tcPr>
          <w:p w:rsidR="00C96186" w:rsidRPr="00BB753E" w:rsidRDefault="00C96186" w:rsidP="001C7F7C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C96186" w:rsidTr="001C7F7C">
        <w:tc>
          <w:tcPr>
            <w:tcW w:w="4675" w:type="dxa"/>
            <w:tcBorders>
              <w:top w:val="double" w:sz="4" w:space="0" w:color="auto"/>
            </w:tcBorders>
          </w:tcPr>
          <w:p w:rsidR="00C96186" w:rsidRPr="00BB753E" w:rsidRDefault="00C96186" w:rsidP="001C7F7C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Wasted child</w:t>
            </w:r>
            <w:r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  <w:tcBorders>
              <w:top w:val="double" w:sz="4" w:space="0" w:color="auto"/>
            </w:tcBorders>
          </w:tcPr>
          <w:p w:rsidR="00C96186" w:rsidRDefault="00C96186" w:rsidP="001C7F7C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WHZ &lt;-2</w:t>
            </w:r>
          </w:p>
        </w:tc>
      </w:tr>
      <w:tr w:rsidR="00C96186" w:rsidTr="001C7F7C">
        <w:tc>
          <w:tcPr>
            <w:tcW w:w="4675" w:type="dxa"/>
          </w:tcPr>
          <w:p w:rsidR="00C96186" w:rsidRDefault="00C96186" w:rsidP="001C7F7C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Moderately wasted child</w:t>
            </w:r>
          </w:p>
        </w:tc>
        <w:tc>
          <w:tcPr>
            <w:tcW w:w="4675" w:type="dxa"/>
          </w:tcPr>
          <w:p w:rsidR="00C96186" w:rsidRDefault="00C96186" w:rsidP="001C7F7C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WHZ &lt;-2 &amp; WHZ &gt;-3</w:t>
            </w:r>
          </w:p>
        </w:tc>
      </w:tr>
      <w:tr w:rsidR="00C96186" w:rsidTr="001C7F7C">
        <w:tc>
          <w:tcPr>
            <w:tcW w:w="4675" w:type="dxa"/>
          </w:tcPr>
          <w:p w:rsidR="00C96186" w:rsidRDefault="00C96186" w:rsidP="001C7F7C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Severely wasted child</w:t>
            </w:r>
          </w:p>
        </w:tc>
        <w:tc>
          <w:tcPr>
            <w:tcW w:w="4675" w:type="dxa"/>
          </w:tcPr>
          <w:p w:rsidR="00C96186" w:rsidRPr="00BB753E" w:rsidRDefault="00C96186" w:rsidP="001C7F7C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WHZ &lt;-3</w:t>
            </w:r>
          </w:p>
        </w:tc>
      </w:tr>
      <w:tr w:rsidR="00C96186" w:rsidTr="001C7F7C">
        <w:tc>
          <w:tcPr>
            <w:tcW w:w="4675" w:type="dxa"/>
          </w:tcPr>
          <w:p w:rsidR="00C96186" w:rsidRDefault="00C96186" w:rsidP="001C7F7C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5" w:type="dxa"/>
          </w:tcPr>
          <w:p w:rsidR="00C96186" w:rsidRDefault="00C96186" w:rsidP="001C7F7C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C96186" w:rsidTr="001C7F7C">
        <w:tc>
          <w:tcPr>
            <w:tcW w:w="4675" w:type="dxa"/>
            <w:tcBorders>
              <w:bottom w:val="double" w:sz="4" w:space="0" w:color="auto"/>
            </w:tcBorders>
            <w:shd w:val="clear" w:color="auto" w:fill="FFFFFF" w:themeFill="background1"/>
          </w:tcPr>
          <w:p w:rsidR="00C96186" w:rsidRPr="00BB753E" w:rsidRDefault="00C96186" w:rsidP="001C7F7C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STUNTING</w:t>
            </w:r>
          </w:p>
        </w:tc>
        <w:tc>
          <w:tcPr>
            <w:tcW w:w="4675" w:type="dxa"/>
            <w:tcBorders>
              <w:bottom w:val="double" w:sz="4" w:space="0" w:color="auto"/>
            </w:tcBorders>
            <w:shd w:val="clear" w:color="auto" w:fill="FFFFFF" w:themeFill="background1"/>
          </w:tcPr>
          <w:p w:rsidR="00C96186" w:rsidRPr="00BB753E" w:rsidRDefault="00C96186" w:rsidP="001C7F7C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C96186" w:rsidTr="001C7F7C">
        <w:tc>
          <w:tcPr>
            <w:tcW w:w="4675" w:type="dxa"/>
            <w:tcBorders>
              <w:top w:val="double" w:sz="4" w:space="0" w:color="auto"/>
            </w:tcBorders>
          </w:tcPr>
          <w:p w:rsidR="00C96186" w:rsidRPr="00BB753E" w:rsidRDefault="00C96186" w:rsidP="001C7F7C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Stunted child</w:t>
            </w:r>
            <w:r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  <w:tcBorders>
              <w:top w:val="double" w:sz="4" w:space="0" w:color="auto"/>
            </w:tcBorders>
          </w:tcPr>
          <w:p w:rsidR="00C96186" w:rsidRDefault="00C96186" w:rsidP="001C7F7C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HAZ &lt;-2</w:t>
            </w:r>
          </w:p>
        </w:tc>
      </w:tr>
      <w:tr w:rsidR="00C96186" w:rsidTr="001C7F7C">
        <w:tc>
          <w:tcPr>
            <w:tcW w:w="4675" w:type="dxa"/>
          </w:tcPr>
          <w:p w:rsidR="00C96186" w:rsidRDefault="00C96186" w:rsidP="001C7F7C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Moderately stunted child</w:t>
            </w:r>
          </w:p>
        </w:tc>
        <w:tc>
          <w:tcPr>
            <w:tcW w:w="4675" w:type="dxa"/>
          </w:tcPr>
          <w:p w:rsidR="00C96186" w:rsidRDefault="00C96186" w:rsidP="001C7F7C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HAZ &lt;-2 &amp; HAZ &gt;-3</w:t>
            </w:r>
          </w:p>
        </w:tc>
      </w:tr>
      <w:tr w:rsidR="00C96186" w:rsidRPr="00BB753E" w:rsidTr="001C7F7C">
        <w:tc>
          <w:tcPr>
            <w:tcW w:w="4675" w:type="dxa"/>
          </w:tcPr>
          <w:p w:rsidR="00C96186" w:rsidRDefault="00C96186" w:rsidP="001C7F7C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Severely stunted child</w:t>
            </w:r>
          </w:p>
        </w:tc>
        <w:tc>
          <w:tcPr>
            <w:tcW w:w="4675" w:type="dxa"/>
          </w:tcPr>
          <w:p w:rsidR="00C96186" w:rsidRPr="00BB753E" w:rsidRDefault="00C96186" w:rsidP="001C7F7C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HAZ &lt;-3</w:t>
            </w:r>
          </w:p>
        </w:tc>
      </w:tr>
      <w:tr w:rsidR="00C96186" w:rsidRPr="00BB753E" w:rsidTr="001C7F7C">
        <w:tc>
          <w:tcPr>
            <w:tcW w:w="4675" w:type="dxa"/>
          </w:tcPr>
          <w:p w:rsidR="00C96186" w:rsidRDefault="00C96186" w:rsidP="001C7F7C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5" w:type="dxa"/>
          </w:tcPr>
          <w:p w:rsidR="00C96186" w:rsidRDefault="00C96186" w:rsidP="001C7F7C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C96186" w:rsidTr="001C7F7C">
        <w:tc>
          <w:tcPr>
            <w:tcW w:w="4675" w:type="dxa"/>
            <w:tcBorders>
              <w:bottom w:val="double" w:sz="4" w:space="0" w:color="auto"/>
            </w:tcBorders>
            <w:shd w:val="clear" w:color="auto" w:fill="FFFFFF" w:themeFill="background1"/>
          </w:tcPr>
          <w:p w:rsidR="00C96186" w:rsidRPr="00BB753E" w:rsidRDefault="00C96186" w:rsidP="001C7F7C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BB753E">
              <w:rPr>
                <w:rFonts w:asciiTheme="majorHAnsi" w:hAnsiTheme="majorHAnsi"/>
                <w:b/>
                <w:sz w:val="24"/>
                <w:szCs w:val="24"/>
              </w:rPr>
              <w:t>UNDERWEIGHT</w:t>
            </w:r>
          </w:p>
        </w:tc>
        <w:tc>
          <w:tcPr>
            <w:tcW w:w="4675" w:type="dxa"/>
            <w:tcBorders>
              <w:bottom w:val="double" w:sz="4" w:space="0" w:color="auto"/>
            </w:tcBorders>
            <w:shd w:val="clear" w:color="auto" w:fill="FFFFFF" w:themeFill="background1"/>
          </w:tcPr>
          <w:p w:rsidR="00C96186" w:rsidRDefault="00C96186" w:rsidP="001C7F7C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96186" w:rsidTr="001C7F7C">
        <w:tc>
          <w:tcPr>
            <w:tcW w:w="4675" w:type="dxa"/>
            <w:tcBorders>
              <w:top w:val="double" w:sz="4" w:space="0" w:color="auto"/>
            </w:tcBorders>
          </w:tcPr>
          <w:p w:rsidR="00C96186" w:rsidRPr="00BB753E" w:rsidRDefault="00C96186" w:rsidP="001C7F7C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Underweight child</w:t>
            </w:r>
            <w:r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  <w:tcBorders>
              <w:top w:val="double" w:sz="4" w:space="0" w:color="auto"/>
            </w:tcBorders>
          </w:tcPr>
          <w:p w:rsidR="00C96186" w:rsidRDefault="00C96186" w:rsidP="001C7F7C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WAZ &lt;-2</w:t>
            </w:r>
          </w:p>
        </w:tc>
      </w:tr>
      <w:tr w:rsidR="00C96186" w:rsidTr="001C7F7C">
        <w:tc>
          <w:tcPr>
            <w:tcW w:w="4675" w:type="dxa"/>
          </w:tcPr>
          <w:p w:rsidR="00C96186" w:rsidRDefault="00C96186" w:rsidP="001C7F7C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Moderately underweight child</w:t>
            </w:r>
          </w:p>
        </w:tc>
        <w:tc>
          <w:tcPr>
            <w:tcW w:w="4675" w:type="dxa"/>
          </w:tcPr>
          <w:p w:rsidR="00C96186" w:rsidRDefault="00C96186" w:rsidP="001C7F7C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WAZ &lt;-2 &amp; WAZ &gt;-3</w:t>
            </w:r>
          </w:p>
        </w:tc>
      </w:tr>
      <w:tr w:rsidR="00C96186" w:rsidTr="001C7F7C">
        <w:tc>
          <w:tcPr>
            <w:tcW w:w="4675" w:type="dxa"/>
          </w:tcPr>
          <w:p w:rsidR="00C96186" w:rsidRDefault="00C96186" w:rsidP="001C7F7C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Severely underweight child</w:t>
            </w:r>
          </w:p>
        </w:tc>
        <w:tc>
          <w:tcPr>
            <w:tcW w:w="4675" w:type="dxa"/>
          </w:tcPr>
          <w:p w:rsidR="00C96186" w:rsidRPr="00BB753E" w:rsidRDefault="00C96186" w:rsidP="001C7F7C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WAZ &lt;-3</w:t>
            </w:r>
          </w:p>
        </w:tc>
      </w:tr>
    </w:tbl>
    <w:p w:rsidR="00C96186" w:rsidRDefault="00C96186" w:rsidP="00C96186">
      <w:pPr>
        <w:jc w:val="both"/>
        <w:rPr>
          <w:rFonts w:asciiTheme="majorHAnsi" w:hAnsiTheme="majorHAnsi"/>
          <w:sz w:val="24"/>
          <w:szCs w:val="24"/>
        </w:rPr>
      </w:pPr>
    </w:p>
    <w:p w:rsidR="00C96186" w:rsidRPr="00C96186" w:rsidRDefault="00C96186" w:rsidP="00C96186">
      <w:pPr>
        <w:jc w:val="both"/>
        <w:rPr>
          <w:rFonts w:asciiTheme="majorHAnsi" w:hAnsiTheme="majorHAnsi"/>
          <w:sz w:val="28"/>
          <w:szCs w:val="28"/>
        </w:rPr>
      </w:pPr>
    </w:p>
    <w:p w:rsidR="00C96186" w:rsidRDefault="00C96186" w:rsidP="00C96186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i/>
          <w:sz w:val="28"/>
          <w:szCs w:val="28"/>
        </w:rPr>
      </w:pPr>
      <w:r>
        <w:rPr>
          <w:rFonts w:asciiTheme="majorHAnsi" w:hAnsiTheme="majorHAnsi"/>
          <w:i/>
          <w:sz w:val="28"/>
          <w:szCs w:val="28"/>
        </w:rPr>
        <w:t xml:space="preserve">Nutrition indices </w:t>
      </w:r>
    </w:p>
    <w:p w:rsidR="00C905D4" w:rsidRPr="00C905D4" w:rsidRDefault="00C905D4" w:rsidP="00C905D4">
      <w:pPr>
        <w:jc w:val="both"/>
        <w:rPr>
          <w:rFonts w:asciiTheme="majorHAnsi" w:hAnsiTheme="majorHAnsi"/>
          <w:sz w:val="24"/>
          <w:szCs w:val="24"/>
        </w:rPr>
      </w:pPr>
    </w:p>
    <w:p w:rsidR="00C21076" w:rsidRDefault="00C21076" w:rsidP="00C21076">
      <w:pPr>
        <w:jc w:val="both"/>
        <w:rPr>
          <w:rFonts w:asciiTheme="majorHAnsi" w:hAnsiTheme="majorHAnsi"/>
          <w:b/>
          <w:sz w:val="24"/>
          <w:szCs w:val="24"/>
        </w:rPr>
      </w:pPr>
      <w:r w:rsidRPr="00C21076">
        <w:rPr>
          <w:rFonts w:asciiTheme="majorHAnsi" w:hAnsiTheme="majorHAnsi"/>
          <w:b/>
          <w:sz w:val="24"/>
          <w:szCs w:val="24"/>
        </w:rPr>
        <w:t>Dietary Diversity Index (HDI)</w:t>
      </w:r>
    </w:p>
    <w:p w:rsidR="004C1E24" w:rsidRDefault="004C1E24" w:rsidP="00C21076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</w:t>
      </w:r>
      <w:r w:rsidR="00C905D4">
        <w:rPr>
          <w:rFonts w:asciiTheme="majorHAnsi" w:hAnsiTheme="majorHAnsi"/>
          <w:sz w:val="24"/>
          <w:szCs w:val="24"/>
        </w:rPr>
        <w:t>alculates</w:t>
      </w:r>
      <w:r>
        <w:rPr>
          <w:rFonts w:asciiTheme="majorHAnsi" w:hAnsiTheme="majorHAnsi"/>
          <w:sz w:val="24"/>
          <w:szCs w:val="24"/>
        </w:rPr>
        <w:t xml:space="preserve"> how many different food items were consumed over the week preceding the interview.</w:t>
      </w:r>
    </w:p>
    <w:p w:rsidR="004C1E24" w:rsidRPr="004C1E24" w:rsidRDefault="004C1E24" w:rsidP="00C21076">
      <w:pPr>
        <w:jc w:val="both"/>
        <w:rPr>
          <w:rFonts w:asciiTheme="majorHAnsi" w:hAnsiTheme="majorHAnsi"/>
          <w:sz w:val="24"/>
          <w:szCs w:val="24"/>
        </w:rPr>
      </w:pPr>
    </w:p>
    <w:p w:rsidR="00C21076" w:rsidRDefault="00C21076" w:rsidP="00C21076">
      <w:pPr>
        <w:jc w:val="both"/>
        <w:rPr>
          <w:rFonts w:asciiTheme="majorHAnsi" w:hAnsiTheme="majorHAnsi"/>
          <w:b/>
          <w:sz w:val="24"/>
          <w:szCs w:val="24"/>
        </w:rPr>
      </w:pPr>
      <w:r w:rsidRPr="00C21076">
        <w:rPr>
          <w:rFonts w:asciiTheme="majorHAnsi" w:hAnsiTheme="majorHAnsi"/>
          <w:b/>
          <w:sz w:val="24"/>
          <w:szCs w:val="24"/>
        </w:rPr>
        <w:t>Household Dietary Diversity Score (HDDS)</w:t>
      </w:r>
    </w:p>
    <w:p w:rsidR="004C1E24" w:rsidRDefault="004C1E24" w:rsidP="00C21076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It categorizes every food item into 12 food groups and computes how many food groups were consumed by the household over the week preceding the interview. 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1E24" w:rsidTr="00F543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4C1E24" w:rsidRPr="004C1E24" w:rsidRDefault="004C1E24" w:rsidP="004C1E24">
            <w:pPr>
              <w:rPr>
                <w:rFonts w:asciiTheme="majorHAnsi" w:hAnsiTheme="majorHAnsi"/>
                <w:sz w:val="24"/>
                <w:szCs w:val="24"/>
              </w:rPr>
            </w:pPr>
            <w:r w:rsidRPr="004C1E24">
              <w:rPr>
                <w:rFonts w:asciiTheme="majorHAnsi" w:hAnsiTheme="majorHAnsi"/>
                <w:color w:val="1F4E79" w:themeColor="accent1" w:themeShade="80"/>
                <w:sz w:val="24"/>
                <w:szCs w:val="24"/>
              </w:rPr>
              <w:t>Food Groups</w:t>
            </w:r>
          </w:p>
        </w:tc>
      </w:tr>
      <w:tr w:rsidR="004C1E24" w:rsidTr="004C1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double" w:sz="4" w:space="0" w:color="auto"/>
            </w:tcBorders>
          </w:tcPr>
          <w:p w:rsidR="004C1E24" w:rsidRPr="004C1E24" w:rsidRDefault="004C1E24" w:rsidP="004C1E2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4C1E24">
              <w:rPr>
                <w:rFonts w:asciiTheme="majorHAnsi" w:hAnsiTheme="majorHAnsi"/>
                <w:b w:val="0"/>
                <w:sz w:val="24"/>
                <w:szCs w:val="24"/>
              </w:rPr>
              <w:t>Cereals</w:t>
            </w:r>
          </w:p>
        </w:tc>
        <w:tc>
          <w:tcPr>
            <w:tcW w:w="3117" w:type="dxa"/>
            <w:tcBorders>
              <w:top w:val="double" w:sz="4" w:space="0" w:color="auto"/>
            </w:tcBorders>
          </w:tcPr>
          <w:p w:rsidR="004C1E24" w:rsidRPr="004C1E24" w:rsidRDefault="004C1E24" w:rsidP="004C1E24">
            <w:pPr>
              <w:pStyle w:val="ListParagraph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4C1E24">
              <w:rPr>
                <w:rFonts w:asciiTheme="majorHAnsi" w:hAnsiTheme="majorHAnsi"/>
                <w:sz w:val="24"/>
                <w:szCs w:val="24"/>
              </w:rPr>
              <w:t>Roots and Tubers</w:t>
            </w:r>
          </w:p>
        </w:tc>
        <w:tc>
          <w:tcPr>
            <w:tcW w:w="3117" w:type="dxa"/>
            <w:tcBorders>
              <w:top w:val="double" w:sz="4" w:space="0" w:color="auto"/>
            </w:tcBorders>
          </w:tcPr>
          <w:p w:rsidR="004C1E24" w:rsidRPr="004C1E24" w:rsidRDefault="004C1E24" w:rsidP="004C1E24">
            <w:pPr>
              <w:pStyle w:val="ListParagraph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4C1E24">
              <w:rPr>
                <w:rFonts w:asciiTheme="majorHAnsi" w:hAnsiTheme="majorHAnsi"/>
                <w:sz w:val="24"/>
                <w:szCs w:val="24"/>
              </w:rPr>
              <w:t>Vegetables</w:t>
            </w:r>
          </w:p>
        </w:tc>
      </w:tr>
      <w:tr w:rsidR="004C1E24" w:rsidTr="004C1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C1E24" w:rsidRPr="004C1E24" w:rsidRDefault="004C1E24" w:rsidP="004C1E2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4C1E24">
              <w:rPr>
                <w:rFonts w:asciiTheme="majorHAnsi" w:hAnsiTheme="majorHAnsi"/>
                <w:b w:val="0"/>
                <w:sz w:val="24"/>
                <w:szCs w:val="24"/>
              </w:rPr>
              <w:t>Fruits</w:t>
            </w:r>
          </w:p>
        </w:tc>
        <w:tc>
          <w:tcPr>
            <w:tcW w:w="3117" w:type="dxa"/>
          </w:tcPr>
          <w:p w:rsidR="004C1E24" w:rsidRPr="004C1E24" w:rsidRDefault="004C1E24" w:rsidP="004C1E24">
            <w:pPr>
              <w:pStyle w:val="ListParagraph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4C1E24">
              <w:rPr>
                <w:rFonts w:asciiTheme="majorHAnsi" w:hAnsiTheme="majorHAnsi"/>
                <w:sz w:val="24"/>
                <w:szCs w:val="24"/>
              </w:rPr>
              <w:t>Meat, poultry, offal</w:t>
            </w:r>
          </w:p>
        </w:tc>
        <w:tc>
          <w:tcPr>
            <w:tcW w:w="3117" w:type="dxa"/>
          </w:tcPr>
          <w:p w:rsidR="004C1E24" w:rsidRPr="004C1E24" w:rsidRDefault="004C1E24" w:rsidP="004C1E24">
            <w:pPr>
              <w:pStyle w:val="ListParagraph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4C1E24">
              <w:rPr>
                <w:rFonts w:asciiTheme="majorHAnsi" w:hAnsiTheme="majorHAnsi"/>
                <w:sz w:val="24"/>
                <w:szCs w:val="24"/>
              </w:rPr>
              <w:t>Eggs</w:t>
            </w:r>
          </w:p>
        </w:tc>
      </w:tr>
      <w:tr w:rsidR="004C1E24" w:rsidTr="004C1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C1E24" w:rsidRPr="004C1E24" w:rsidRDefault="004C1E24" w:rsidP="004C1E2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4C1E24">
              <w:rPr>
                <w:rFonts w:asciiTheme="majorHAnsi" w:hAnsiTheme="majorHAnsi"/>
                <w:b w:val="0"/>
                <w:sz w:val="24"/>
                <w:szCs w:val="24"/>
              </w:rPr>
              <w:t>Fish and seafood</w:t>
            </w:r>
          </w:p>
        </w:tc>
        <w:tc>
          <w:tcPr>
            <w:tcW w:w="3117" w:type="dxa"/>
          </w:tcPr>
          <w:p w:rsidR="004C1E24" w:rsidRPr="004C1E24" w:rsidRDefault="004C1E24" w:rsidP="004C1E24">
            <w:pPr>
              <w:pStyle w:val="ListParagraph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4C1E24">
              <w:rPr>
                <w:rFonts w:asciiTheme="majorHAnsi" w:hAnsiTheme="majorHAnsi"/>
                <w:sz w:val="24"/>
                <w:szCs w:val="24"/>
              </w:rPr>
              <w:t>Pulses/legumes/nuts</w:t>
            </w:r>
          </w:p>
        </w:tc>
        <w:tc>
          <w:tcPr>
            <w:tcW w:w="3117" w:type="dxa"/>
          </w:tcPr>
          <w:p w:rsidR="004C1E24" w:rsidRPr="004C1E24" w:rsidRDefault="004C1E24" w:rsidP="004C1E24">
            <w:pPr>
              <w:pStyle w:val="ListParagraph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4C1E24">
              <w:rPr>
                <w:rFonts w:asciiTheme="majorHAnsi" w:hAnsiTheme="majorHAnsi"/>
                <w:sz w:val="24"/>
                <w:szCs w:val="24"/>
              </w:rPr>
              <w:t>Milk and milk products</w:t>
            </w:r>
          </w:p>
        </w:tc>
      </w:tr>
      <w:tr w:rsidR="004C1E24" w:rsidTr="004C1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C1E24" w:rsidRPr="004C1E24" w:rsidRDefault="004C1E24" w:rsidP="004C1E2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4C1E24">
              <w:rPr>
                <w:rFonts w:asciiTheme="majorHAnsi" w:hAnsiTheme="majorHAnsi"/>
                <w:b w:val="0"/>
                <w:sz w:val="24"/>
                <w:szCs w:val="24"/>
              </w:rPr>
              <w:t>Oil/fats</w:t>
            </w:r>
          </w:p>
        </w:tc>
        <w:tc>
          <w:tcPr>
            <w:tcW w:w="3117" w:type="dxa"/>
          </w:tcPr>
          <w:p w:rsidR="004C1E24" w:rsidRPr="004C1E24" w:rsidRDefault="004C1E24" w:rsidP="004C1E24">
            <w:pPr>
              <w:pStyle w:val="ListParagraph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4C1E24">
              <w:rPr>
                <w:rFonts w:asciiTheme="majorHAnsi" w:hAnsiTheme="majorHAnsi"/>
                <w:sz w:val="24"/>
                <w:szCs w:val="24"/>
              </w:rPr>
              <w:t>Sugar/honey</w:t>
            </w:r>
          </w:p>
        </w:tc>
        <w:tc>
          <w:tcPr>
            <w:tcW w:w="3117" w:type="dxa"/>
          </w:tcPr>
          <w:p w:rsidR="004C1E24" w:rsidRPr="004C1E24" w:rsidRDefault="00C905D4" w:rsidP="004C1E24">
            <w:pPr>
              <w:pStyle w:val="ListParagraph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Miscellaneous</w:t>
            </w:r>
            <w:r w:rsidR="004C1E24" w:rsidRPr="004C1E24">
              <w:rPr>
                <w:rFonts w:asciiTheme="majorHAnsi" w:hAnsiTheme="majorHAnsi"/>
                <w:sz w:val="24"/>
                <w:szCs w:val="24"/>
              </w:rPr>
              <w:t xml:space="preserve">. </w:t>
            </w:r>
          </w:p>
        </w:tc>
      </w:tr>
    </w:tbl>
    <w:p w:rsidR="004C1E24" w:rsidRPr="004C1E24" w:rsidRDefault="004C1E24" w:rsidP="00C21076">
      <w:pPr>
        <w:jc w:val="both"/>
        <w:rPr>
          <w:rFonts w:asciiTheme="majorHAnsi" w:hAnsiTheme="majorHAnsi"/>
          <w:sz w:val="24"/>
          <w:szCs w:val="24"/>
        </w:rPr>
      </w:pPr>
    </w:p>
    <w:p w:rsidR="00C21076" w:rsidRPr="00C21076" w:rsidRDefault="00C21076" w:rsidP="00C21076">
      <w:pPr>
        <w:jc w:val="both"/>
        <w:rPr>
          <w:rFonts w:asciiTheme="majorHAnsi" w:hAnsiTheme="majorHAnsi"/>
          <w:b/>
          <w:sz w:val="24"/>
          <w:szCs w:val="24"/>
        </w:rPr>
      </w:pPr>
      <w:r w:rsidRPr="00C21076">
        <w:rPr>
          <w:rFonts w:asciiTheme="majorHAnsi" w:hAnsiTheme="majorHAnsi"/>
          <w:b/>
          <w:sz w:val="24"/>
          <w:szCs w:val="24"/>
        </w:rPr>
        <w:t xml:space="preserve">Shannon Index </w:t>
      </w:r>
    </w:p>
    <w:p w:rsidR="00C21076" w:rsidRPr="00C21076" w:rsidRDefault="00C21076" w:rsidP="00C21076">
      <w:pPr>
        <w:jc w:val="both"/>
        <w:rPr>
          <w:rFonts w:asciiTheme="majorHAnsi" w:hAnsiTheme="majorHAnsi"/>
          <w:sz w:val="24"/>
          <w:szCs w:val="24"/>
        </w:rPr>
      </w:pPr>
      <w:r w:rsidRPr="00C21076">
        <w:rPr>
          <w:rFonts w:asciiTheme="majorHAnsi" w:hAnsiTheme="majorHAnsi"/>
          <w:sz w:val="24"/>
          <w:szCs w:val="24"/>
        </w:rPr>
        <w:t xml:space="preserve">The Shannon index quantifies the uncertainty in predicting in which category one observation taken at random will fall into. The higher the number of categories the </w:t>
      </w:r>
      <w:r w:rsidR="00622D6F">
        <w:rPr>
          <w:rFonts w:asciiTheme="majorHAnsi" w:hAnsiTheme="majorHAnsi"/>
          <w:sz w:val="24"/>
          <w:szCs w:val="24"/>
        </w:rPr>
        <w:t>higher the uncertaint</w:t>
      </w:r>
      <w:r w:rsidRPr="00C21076">
        <w:rPr>
          <w:rFonts w:asciiTheme="majorHAnsi" w:hAnsiTheme="majorHAnsi"/>
          <w:sz w:val="24"/>
          <w:szCs w:val="24"/>
        </w:rPr>
        <w:t>y</w:t>
      </w:r>
      <w:r w:rsidR="00622D6F">
        <w:rPr>
          <w:rFonts w:asciiTheme="majorHAnsi" w:hAnsiTheme="majorHAnsi"/>
          <w:sz w:val="24"/>
          <w:szCs w:val="24"/>
        </w:rPr>
        <w:t xml:space="preserve"> of prediction</w:t>
      </w:r>
      <w:r w:rsidRPr="00C21076">
        <w:rPr>
          <w:rFonts w:asciiTheme="majorHAnsi" w:hAnsiTheme="majorHAnsi"/>
          <w:sz w:val="24"/>
          <w:szCs w:val="24"/>
        </w:rPr>
        <w:t xml:space="preserve">, and therefore the more diverse is the sample. In the context of nutrition, </w:t>
      </w:r>
      <w:proofErr w:type="gramStart"/>
      <w:r w:rsidRPr="00C21076">
        <w:rPr>
          <w:rFonts w:asciiTheme="majorHAnsi" w:hAnsiTheme="majorHAnsi"/>
          <w:sz w:val="24"/>
          <w:szCs w:val="24"/>
        </w:rPr>
        <w:t>the</w:t>
      </w:r>
      <w:proofErr w:type="gramEnd"/>
      <w:r w:rsidRPr="00C21076">
        <w:rPr>
          <w:rFonts w:asciiTheme="majorHAnsi" w:hAnsiTheme="majorHAnsi"/>
          <w:sz w:val="24"/>
          <w:szCs w:val="24"/>
        </w:rPr>
        <w:t xml:space="preserve"> categories correspond to the different macro nutrients and therefore the richest is the diet of an individual or household, the higher will be the Shannon index. </w:t>
      </w:r>
    </w:p>
    <w:p w:rsidR="00C21076" w:rsidRPr="00C21076" w:rsidRDefault="00C21076" w:rsidP="00C21076">
      <w:pPr>
        <w:ind w:left="360"/>
        <w:jc w:val="both"/>
        <w:rPr>
          <w:rFonts w:asciiTheme="majorHAnsi" w:eastAsiaTheme="minorEastAsia" w:hAnsiTheme="majorHAns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Shannon=-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func>
        </m:oMath>
      </m:oMathPara>
    </w:p>
    <w:p w:rsidR="00C21076" w:rsidRPr="00C21076" w:rsidRDefault="00C21076" w:rsidP="00C21076">
      <w:pPr>
        <w:jc w:val="both"/>
        <w:rPr>
          <w:rFonts w:asciiTheme="majorHAnsi" w:eastAsiaTheme="minorEastAsia" w:hAnsiTheme="majorHAnsi"/>
          <w:sz w:val="24"/>
          <w:szCs w:val="24"/>
        </w:rPr>
      </w:pPr>
      <w:r w:rsidRPr="00C21076">
        <w:rPr>
          <w:rFonts w:asciiTheme="majorHAnsi" w:eastAsiaTheme="minorEastAsia" w:hAnsiTheme="majorHAnsi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C21076">
        <w:rPr>
          <w:rFonts w:asciiTheme="majorHAnsi" w:eastAsiaTheme="minorEastAsia" w:hAnsiTheme="majorHAnsi"/>
          <w:sz w:val="24"/>
          <w:szCs w:val="24"/>
        </w:rPr>
        <w:t xml:space="preserve"> is the share of foods belonging to the </w:t>
      </w:r>
      <w:proofErr w:type="spellStart"/>
      <w:r w:rsidRPr="00C21076">
        <w:rPr>
          <w:rFonts w:asciiTheme="majorHAnsi" w:eastAsiaTheme="minorEastAsia" w:hAnsiTheme="majorHAnsi"/>
          <w:sz w:val="24"/>
          <w:szCs w:val="24"/>
        </w:rPr>
        <w:t>i</w:t>
      </w:r>
      <w:r w:rsidR="00622D6F">
        <w:rPr>
          <w:rFonts w:asciiTheme="majorHAnsi" w:eastAsiaTheme="minorEastAsia" w:hAnsiTheme="majorHAnsi"/>
          <w:sz w:val="24"/>
          <w:szCs w:val="24"/>
        </w:rPr>
        <w:t>-</w:t>
      </w:r>
      <w:r w:rsidRPr="00C21076">
        <w:rPr>
          <w:rFonts w:asciiTheme="majorHAnsi" w:eastAsiaTheme="minorEastAsia" w:hAnsiTheme="majorHAnsi"/>
          <w:sz w:val="24"/>
          <w:szCs w:val="24"/>
        </w:rPr>
        <w:t>th</w:t>
      </w:r>
      <w:proofErr w:type="spellEnd"/>
      <w:r w:rsidRPr="00C21076">
        <w:rPr>
          <w:rFonts w:asciiTheme="majorHAnsi" w:eastAsiaTheme="minorEastAsia" w:hAnsiTheme="majorHAnsi"/>
          <w:sz w:val="24"/>
          <w:szCs w:val="24"/>
        </w:rPr>
        <w:t xml:space="preserve"> type of nutrient in the individual or household </w:t>
      </w:r>
      <w:proofErr w:type="gramStart"/>
      <w:r w:rsidRPr="00C21076">
        <w:rPr>
          <w:rFonts w:asciiTheme="majorHAnsi" w:eastAsiaTheme="minorEastAsia" w:hAnsiTheme="majorHAnsi"/>
          <w:sz w:val="24"/>
          <w:szCs w:val="24"/>
        </w:rPr>
        <w:t>consumption.</w:t>
      </w:r>
      <w:proofErr w:type="gramEnd"/>
    </w:p>
    <w:p w:rsidR="00C21076" w:rsidRDefault="00C21076" w:rsidP="00C21076">
      <w:pPr>
        <w:jc w:val="both"/>
        <w:rPr>
          <w:rFonts w:asciiTheme="majorHAnsi" w:eastAsiaTheme="minorEastAsia" w:hAnsiTheme="majorHAnsi"/>
          <w:b/>
          <w:sz w:val="24"/>
          <w:szCs w:val="24"/>
        </w:rPr>
      </w:pPr>
    </w:p>
    <w:p w:rsidR="00C21076" w:rsidRPr="00C21076" w:rsidRDefault="00C21076" w:rsidP="00C21076">
      <w:pPr>
        <w:jc w:val="both"/>
        <w:rPr>
          <w:rFonts w:asciiTheme="majorHAnsi" w:eastAsiaTheme="minorEastAsia" w:hAnsiTheme="majorHAnsi"/>
          <w:sz w:val="24"/>
          <w:szCs w:val="24"/>
        </w:rPr>
      </w:pPr>
      <w:r w:rsidRPr="00C21076">
        <w:rPr>
          <w:rFonts w:asciiTheme="majorHAnsi" w:eastAsiaTheme="minorEastAsia" w:hAnsiTheme="majorHAnsi"/>
          <w:b/>
          <w:sz w:val="24"/>
          <w:szCs w:val="24"/>
        </w:rPr>
        <w:t>Simpson Index</w:t>
      </w:r>
    </w:p>
    <w:p w:rsidR="00C21076" w:rsidRPr="00C21076" w:rsidRDefault="00C21076" w:rsidP="00C21076">
      <w:pPr>
        <w:jc w:val="both"/>
        <w:rPr>
          <w:rFonts w:asciiTheme="majorHAnsi" w:eastAsiaTheme="minorEastAsia" w:hAnsiTheme="majorHAnsi"/>
          <w:sz w:val="24"/>
          <w:szCs w:val="24"/>
        </w:rPr>
      </w:pPr>
      <w:r w:rsidRPr="00C21076">
        <w:rPr>
          <w:rFonts w:asciiTheme="majorHAnsi" w:eastAsiaTheme="minorEastAsia" w:hAnsiTheme="majorHAnsi"/>
          <w:sz w:val="24"/>
          <w:szCs w:val="24"/>
        </w:rPr>
        <w:t>The Simpson index is a measure of degree of concentration and captures the probability that two observations taken at random belong to the same category.</w:t>
      </w:r>
    </w:p>
    <w:p w:rsidR="00C21076" w:rsidRPr="00C21076" w:rsidRDefault="00C21076" w:rsidP="00C21076">
      <w:pPr>
        <w:ind w:left="360"/>
        <w:jc w:val="both"/>
        <w:rPr>
          <w:rFonts w:asciiTheme="majorHAnsi" w:eastAsiaTheme="minorEastAsia" w:hAnsiTheme="majorHAns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Simpson=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:rsidR="00C21076" w:rsidRPr="00C21076" w:rsidRDefault="00C21076" w:rsidP="00C21076">
      <w:pPr>
        <w:jc w:val="both"/>
        <w:rPr>
          <w:rFonts w:asciiTheme="majorHAnsi" w:eastAsiaTheme="minorEastAsia" w:hAnsiTheme="majorHAnsi"/>
          <w:sz w:val="24"/>
          <w:szCs w:val="24"/>
        </w:rPr>
      </w:pPr>
      <w:r w:rsidRPr="00C21076">
        <w:rPr>
          <w:rFonts w:asciiTheme="majorHAnsi" w:eastAsiaTheme="minorEastAsia" w:hAnsiTheme="majorHAnsi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C21076">
        <w:rPr>
          <w:rFonts w:asciiTheme="majorHAnsi" w:eastAsiaTheme="minorEastAsia" w:hAnsiTheme="majorHAnsi"/>
          <w:sz w:val="24"/>
          <w:szCs w:val="24"/>
        </w:rPr>
        <w:t xml:space="preserve"> is the share of foods belonging to the </w:t>
      </w:r>
      <w:proofErr w:type="spellStart"/>
      <w:r w:rsidRPr="00C21076">
        <w:rPr>
          <w:rFonts w:asciiTheme="majorHAnsi" w:eastAsiaTheme="minorEastAsia" w:hAnsiTheme="majorHAnsi"/>
          <w:sz w:val="24"/>
          <w:szCs w:val="24"/>
        </w:rPr>
        <w:t>i</w:t>
      </w:r>
      <w:r w:rsidR="00622D6F">
        <w:rPr>
          <w:rFonts w:asciiTheme="majorHAnsi" w:eastAsiaTheme="minorEastAsia" w:hAnsiTheme="majorHAnsi"/>
          <w:sz w:val="24"/>
          <w:szCs w:val="24"/>
        </w:rPr>
        <w:t>-</w:t>
      </w:r>
      <w:r w:rsidRPr="00C21076">
        <w:rPr>
          <w:rFonts w:asciiTheme="majorHAnsi" w:eastAsiaTheme="minorEastAsia" w:hAnsiTheme="majorHAnsi"/>
          <w:sz w:val="24"/>
          <w:szCs w:val="24"/>
        </w:rPr>
        <w:t>th</w:t>
      </w:r>
      <w:proofErr w:type="spellEnd"/>
      <w:r w:rsidRPr="00C21076">
        <w:rPr>
          <w:rFonts w:asciiTheme="majorHAnsi" w:eastAsiaTheme="minorEastAsia" w:hAnsiTheme="majorHAnsi"/>
          <w:sz w:val="24"/>
          <w:szCs w:val="24"/>
        </w:rPr>
        <w:t xml:space="preserve"> type of nutrient in the individual or household </w:t>
      </w:r>
      <w:proofErr w:type="gramStart"/>
      <w:r w:rsidRPr="00C21076">
        <w:rPr>
          <w:rFonts w:asciiTheme="majorHAnsi" w:eastAsiaTheme="minorEastAsia" w:hAnsiTheme="majorHAnsi"/>
          <w:sz w:val="24"/>
          <w:szCs w:val="24"/>
        </w:rPr>
        <w:t>consumption.</w:t>
      </w:r>
      <w:proofErr w:type="gramEnd"/>
      <w:r w:rsidRPr="00C21076">
        <w:rPr>
          <w:rFonts w:asciiTheme="majorHAnsi" w:eastAsiaTheme="minorEastAsia" w:hAnsiTheme="majorHAnsi"/>
          <w:sz w:val="24"/>
          <w:szCs w:val="24"/>
        </w:rPr>
        <w:t xml:space="preserve"> The value of the Simpson index always falls between 0 and 1. </w:t>
      </w:r>
    </w:p>
    <w:p w:rsidR="00C21076" w:rsidRPr="00C21076" w:rsidRDefault="00C21076" w:rsidP="00C21076">
      <w:pPr>
        <w:jc w:val="both"/>
        <w:rPr>
          <w:rFonts w:asciiTheme="majorHAnsi" w:eastAsiaTheme="minorEastAsia" w:hAnsiTheme="majorHAnsi"/>
          <w:sz w:val="24"/>
          <w:szCs w:val="24"/>
        </w:rPr>
      </w:pPr>
      <w:r w:rsidRPr="00C21076">
        <w:rPr>
          <w:rFonts w:asciiTheme="majorHAnsi" w:eastAsiaTheme="minorEastAsia" w:hAnsiTheme="majorHAnsi"/>
          <w:sz w:val="24"/>
          <w:szCs w:val="24"/>
        </w:rPr>
        <w:t>Since we are interested in a measure of diversity, in our dataset we report the inverse of the Simpson index, which is computed as 1-Simpson. Th</w:t>
      </w:r>
      <w:r w:rsidR="00565BBF">
        <w:rPr>
          <w:rFonts w:asciiTheme="majorHAnsi" w:eastAsiaTheme="minorEastAsia" w:hAnsiTheme="majorHAnsi"/>
          <w:sz w:val="24"/>
          <w:szCs w:val="24"/>
        </w:rPr>
        <w:t xml:space="preserve">erefore, the higher the Simpson </w:t>
      </w:r>
      <w:r w:rsidRPr="00C21076">
        <w:rPr>
          <w:rFonts w:asciiTheme="majorHAnsi" w:eastAsiaTheme="minorEastAsia" w:hAnsiTheme="majorHAnsi"/>
          <w:sz w:val="24"/>
          <w:szCs w:val="24"/>
        </w:rPr>
        <w:t xml:space="preserve">index reported in the dataset, the more diverse is the diet of the individual. </w:t>
      </w:r>
    </w:p>
    <w:p w:rsidR="00C21076" w:rsidRPr="00C21076" w:rsidRDefault="00C21076" w:rsidP="00C21076">
      <w:pPr>
        <w:jc w:val="both"/>
        <w:rPr>
          <w:rFonts w:asciiTheme="majorHAnsi" w:hAnsiTheme="majorHAnsi"/>
          <w:sz w:val="28"/>
          <w:szCs w:val="28"/>
        </w:rPr>
      </w:pPr>
    </w:p>
    <w:p w:rsidR="00C21076" w:rsidRDefault="00C21076" w:rsidP="00C96186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i/>
          <w:sz w:val="28"/>
          <w:szCs w:val="28"/>
        </w:rPr>
      </w:pPr>
      <w:r>
        <w:rPr>
          <w:rFonts w:asciiTheme="majorHAnsi" w:hAnsiTheme="majorHAnsi"/>
          <w:i/>
          <w:sz w:val="28"/>
          <w:szCs w:val="28"/>
        </w:rPr>
        <w:t>Poverty indices</w:t>
      </w:r>
      <w:r w:rsidR="00ED3151">
        <w:rPr>
          <w:rStyle w:val="FootnoteReference"/>
          <w:rFonts w:asciiTheme="majorHAnsi" w:hAnsiTheme="majorHAnsi"/>
          <w:i/>
          <w:sz w:val="28"/>
          <w:szCs w:val="28"/>
        </w:rPr>
        <w:footnoteReference w:id="2"/>
      </w:r>
    </w:p>
    <w:p w:rsidR="00ED3151" w:rsidRDefault="00ED3151" w:rsidP="00C21076">
      <w:pPr>
        <w:jc w:val="both"/>
        <w:rPr>
          <w:rFonts w:asciiTheme="majorHAnsi" w:hAnsiTheme="majorHAnsi"/>
          <w:b/>
          <w:sz w:val="24"/>
          <w:szCs w:val="24"/>
        </w:rPr>
      </w:pPr>
    </w:p>
    <w:p w:rsidR="00C21076" w:rsidRDefault="00565BBF" w:rsidP="00C21076">
      <w:pPr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Gini index</w:t>
      </w:r>
    </w:p>
    <w:p w:rsidR="00565BBF" w:rsidRDefault="00565BBF" w:rsidP="00C21076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Gini coefficient measures inequality within a society by looking at the income distribution across its members. It can take values from 0 (perfect equality, everyone owns the same) to 100 </w:t>
      </w:r>
      <w:r>
        <w:rPr>
          <w:rFonts w:asciiTheme="majorHAnsi" w:hAnsiTheme="majorHAnsi"/>
          <w:sz w:val="24"/>
          <w:szCs w:val="24"/>
        </w:rPr>
        <w:lastRenderedPageBreak/>
        <w:t>(perfect inequality, one person possess</w:t>
      </w:r>
      <w:r w:rsidR="00622D6F">
        <w:rPr>
          <w:rFonts w:asciiTheme="majorHAnsi" w:hAnsiTheme="majorHAnsi"/>
          <w:sz w:val="24"/>
          <w:szCs w:val="24"/>
        </w:rPr>
        <w:t>es</w:t>
      </w:r>
      <w:r>
        <w:rPr>
          <w:rFonts w:asciiTheme="majorHAnsi" w:hAnsiTheme="majorHAnsi"/>
          <w:sz w:val="24"/>
          <w:szCs w:val="24"/>
        </w:rPr>
        <w:t xml:space="preserve"> everything and all the others </w:t>
      </w:r>
      <w:r w:rsidR="00622D6F">
        <w:rPr>
          <w:rFonts w:asciiTheme="majorHAnsi" w:hAnsiTheme="majorHAnsi"/>
          <w:sz w:val="24"/>
          <w:szCs w:val="24"/>
        </w:rPr>
        <w:t>nothing</w:t>
      </w:r>
      <w:r>
        <w:rPr>
          <w:rFonts w:asciiTheme="majorHAnsi" w:hAnsiTheme="majorHAnsi"/>
          <w:sz w:val="24"/>
          <w:szCs w:val="24"/>
        </w:rPr>
        <w:t>). Most of the countries fall in the range between 25 and 55.</w:t>
      </w:r>
    </w:p>
    <w:p w:rsidR="00A9572C" w:rsidRDefault="00A9572C" w:rsidP="00C21076">
      <w:pPr>
        <w:jc w:val="both"/>
        <w:rPr>
          <w:rFonts w:asciiTheme="majorHAnsi" w:hAnsiTheme="majorHAnsi"/>
          <w:sz w:val="24"/>
          <w:szCs w:val="24"/>
        </w:rPr>
      </w:pPr>
    </w:p>
    <w:p w:rsidR="00565BBF" w:rsidRDefault="00565BBF" w:rsidP="00565BBF">
      <w:pPr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Poverty headcount ratio</w:t>
      </w:r>
    </w:p>
    <w:p w:rsidR="00A9572C" w:rsidRDefault="00A9572C" w:rsidP="00C21076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</w:t>
      </w:r>
      <w:r w:rsidR="00565BBF">
        <w:rPr>
          <w:rFonts w:asciiTheme="majorHAnsi" w:hAnsiTheme="majorHAnsi"/>
          <w:sz w:val="24"/>
          <w:szCs w:val="24"/>
        </w:rPr>
        <w:t xml:space="preserve"> is the most commonly used measure of poverty. It </w:t>
      </w:r>
      <w:r>
        <w:rPr>
          <w:rFonts w:asciiTheme="majorHAnsi" w:hAnsiTheme="majorHAnsi"/>
          <w:sz w:val="24"/>
          <w:szCs w:val="24"/>
        </w:rPr>
        <w:t xml:space="preserve">measures the </w:t>
      </w:r>
      <w:r>
        <w:rPr>
          <w:rFonts w:asciiTheme="majorHAnsi" w:hAnsiTheme="majorHAnsi"/>
          <w:sz w:val="24"/>
          <w:szCs w:val="24"/>
        </w:rPr>
        <w:t xml:space="preserve">share of the population falling below </w:t>
      </w:r>
      <w:r>
        <w:rPr>
          <w:rFonts w:asciiTheme="majorHAnsi" w:hAnsiTheme="majorHAnsi"/>
          <w:sz w:val="24"/>
          <w:szCs w:val="24"/>
        </w:rPr>
        <w:t xml:space="preserve">a defined poverty line, </w:t>
      </w:r>
      <w:r w:rsidR="00565BBF">
        <w:rPr>
          <w:rFonts w:asciiTheme="majorHAnsi" w:hAnsiTheme="majorHAnsi"/>
          <w:sz w:val="24"/>
          <w:szCs w:val="24"/>
        </w:rPr>
        <w:t>usually</w:t>
      </w:r>
      <w:r>
        <w:rPr>
          <w:rFonts w:asciiTheme="majorHAnsi" w:hAnsiTheme="majorHAnsi"/>
          <w:sz w:val="24"/>
          <w:szCs w:val="24"/>
        </w:rPr>
        <w:t xml:space="preserve"> corresponding to</w:t>
      </w:r>
      <w:r w:rsidR="00565BBF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1.25, 2 or 2.5 USD of income per day.</w:t>
      </w:r>
    </w:p>
    <w:p w:rsidR="00565BBF" w:rsidRPr="00565BBF" w:rsidRDefault="00565BBF" w:rsidP="00C21076">
      <w:pPr>
        <w:jc w:val="both"/>
        <w:rPr>
          <w:rFonts w:asciiTheme="majorHAnsi" w:hAnsiTheme="majorHAnsi"/>
          <w:sz w:val="24"/>
          <w:szCs w:val="24"/>
        </w:rPr>
      </w:pPr>
    </w:p>
    <w:p w:rsidR="00565BBF" w:rsidRDefault="00565BBF" w:rsidP="00C21076">
      <w:pPr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Poverty Density</w:t>
      </w:r>
    </w:p>
    <w:p w:rsidR="00A9572C" w:rsidRDefault="00A9572C" w:rsidP="00C21076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It measures the average number of people living below the poverty line per squared kilometer. </w:t>
      </w:r>
      <w:r w:rsidR="00622D6F">
        <w:rPr>
          <w:rFonts w:asciiTheme="majorHAnsi" w:hAnsiTheme="majorHAnsi"/>
          <w:sz w:val="24"/>
          <w:szCs w:val="24"/>
        </w:rPr>
        <w:t>This indicator</w:t>
      </w:r>
      <w:r>
        <w:rPr>
          <w:rFonts w:asciiTheme="majorHAnsi" w:hAnsiTheme="majorHAnsi"/>
          <w:sz w:val="24"/>
          <w:szCs w:val="24"/>
        </w:rPr>
        <w:t xml:space="preserve"> </w:t>
      </w:r>
      <w:r w:rsidR="00622D6F">
        <w:rPr>
          <w:rFonts w:asciiTheme="majorHAnsi" w:hAnsiTheme="majorHAnsi"/>
          <w:sz w:val="24"/>
          <w:szCs w:val="24"/>
        </w:rPr>
        <w:t>adds</w:t>
      </w:r>
      <w:r>
        <w:rPr>
          <w:rFonts w:asciiTheme="majorHAnsi" w:hAnsiTheme="majorHAnsi"/>
          <w:sz w:val="24"/>
          <w:szCs w:val="24"/>
        </w:rPr>
        <w:t xml:space="preserve"> an additional spatial dimension to the poverty headcount ratio.</w:t>
      </w:r>
    </w:p>
    <w:p w:rsidR="003B7021" w:rsidRPr="00A9572C" w:rsidRDefault="003B7021" w:rsidP="00C21076">
      <w:pPr>
        <w:jc w:val="both"/>
        <w:rPr>
          <w:rFonts w:asciiTheme="majorHAnsi" w:hAnsiTheme="majorHAnsi"/>
          <w:sz w:val="24"/>
          <w:szCs w:val="24"/>
        </w:rPr>
      </w:pPr>
    </w:p>
    <w:p w:rsidR="00565BBF" w:rsidRDefault="00565BBF" w:rsidP="00C21076">
      <w:pPr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Poverty Gap</w:t>
      </w:r>
      <w:r w:rsidR="003B7021">
        <w:rPr>
          <w:rFonts w:asciiTheme="majorHAnsi" w:hAnsiTheme="majorHAnsi"/>
          <w:b/>
          <w:sz w:val="24"/>
          <w:szCs w:val="24"/>
        </w:rPr>
        <w:t xml:space="preserve"> and poverty severity</w:t>
      </w:r>
    </w:p>
    <w:p w:rsidR="00A9572C" w:rsidRDefault="00A9572C" w:rsidP="00C21076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poverty gap index captures the depth of poverty</w:t>
      </w:r>
      <w:r w:rsidR="00622D6F">
        <w:rPr>
          <w:rFonts w:asciiTheme="majorHAnsi" w:hAnsiTheme="majorHAnsi"/>
          <w:sz w:val="24"/>
          <w:szCs w:val="24"/>
        </w:rPr>
        <w:t xml:space="preserve"> (</w:t>
      </w:r>
      <w:r w:rsidR="003B7021">
        <w:rPr>
          <w:rFonts w:asciiTheme="majorHAnsi" w:hAnsiTheme="majorHAnsi"/>
          <w:sz w:val="24"/>
          <w:szCs w:val="24"/>
        </w:rPr>
        <w:t>how far are the individuals from the poverty line</w:t>
      </w:r>
      <w:r w:rsidR="00622D6F">
        <w:rPr>
          <w:rFonts w:asciiTheme="majorHAnsi" w:hAnsiTheme="majorHAnsi"/>
          <w:sz w:val="24"/>
          <w:szCs w:val="24"/>
        </w:rPr>
        <w:t>), providing</w:t>
      </w:r>
      <w:r w:rsidR="003B7021">
        <w:rPr>
          <w:rFonts w:asciiTheme="majorHAnsi" w:hAnsiTheme="majorHAnsi"/>
          <w:sz w:val="24"/>
          <w:szCs w:val="24"/>
        </w:rPr>
        <w:t xml:space="preserve"> a more complete perspective with respect to the headcount ratio</w:t>
      </w:r>
      <w:r>
        <w:rPr>
          <w:rFonts w:asciiTheme="majorHAnsi" w:hAnsiTheme="majorHAnsi"/>
          <w:sz w:val="24"/>
          <w:szCs w:val="24"/>
        </w:rPr>
        <w:t xml:space="preserve">. </w:t>
      </w:r>
      <w:r w:rsidR="003B7021">
        <w:rPr>
          <w:rFonts w:asciiTheme="majorHAnsi" w:hAnsiTheme="majorHAnsi"/>
          <w:sz w:val="24"/>
          <w:szCs w:val="24"/>
        </w:rPr>
        <w:t xml:space="preserve">The headcount ratio ignores the depth of poverty since someone living below the poverty line and becoming even poorer </w:t>
      </w:r>
      <w:r w:rsidR="00622D6F">
        <w:rPr>
          <w:rFonts w:asciiTheme="majorHAnsi" w:hAnsiTheme="majorHAnsi"/>
          <w:sz w:val="24"/>
          <w:szCs w:val="24"/>
        </w:rPr>
        <w:t>would leave</w:t>
      </w:r>
      <w:r w:rsidR="003B7021">
        <w:rPr>
          <w:rFonts w:asciiTheme="majorHAnsi" w:hAnsiTheme="majorHAnsi"/>
          <w:sz w:val="24"/>
          <w:szCs w:val="24"/>
        </w:rPr>
        <w:t xml:space="preserve"> the headcount value unchanged. </w:t>
      </w:r>
      <w:r w:rsidR="00ED3151">
        <w:rPr>
          <w:rFonts w:asciiTheme="majorHAnsi" w:hAnsiTheme="majorHAnsi"/>
          <w:sz w:val="24"/>
          <w:szCs w:val="24"/>
        </w:rPr>
        <w:t xml:space="preserve"> </w:t>
      </w:r>
      <w:r w:rsidR="003B7021">
        <w:rPr>
          <w:rFonts w:asciiTheme="majorHAnsi" w:hAnsiTheme="majorHAnsi"/>
          <w:sz w:val="24"/>
          <w:szCs w:val="24"/>
        </w:rPr>
        <w:t>The poverty severity index aims at refining the measure even more by taking into account the inequalit</w:t>
      </w:r>
      <w:r w:rsidR="00622D6F">
        <w:rPr>
          <w:rFonts w:asciiTheme="majorHAnsi" w:hAnsiTheme="majorHAnsi"/>
          <w:sz w:val="24"/>
          <w:szCs w:val="24"/>
        </w:rPr>
        <w:t>y among the poor</w:t>
      </w:r>
      <w:r w:rsidR="003B7021">
        <w:rPr>
          <w:rFonts w:asciiTheme="majorHAnsi" w:hAnsiTheme="majorHAnsi"/>
          <w:sz w:val="24"/>
          <w:szCs w:val="24"/>
        </w:rPr>
        <w:t xml:space="preserve">. </w:t>
      </w:r>
    </w:p>
    <w:p w:rsidR="003B7021" w:rsidRDefault="003B7021" w:rsidP="00C21076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poverty gap index is computed as following:</w:t>
      </w:r>
    </w:p>
    <w:p w:rsidR="003B7021" w:rsidRPr="003B7021" w:rsidRDefault="003B7021" w:rsidP="00C21076">
      <w:pPr>
        <w:jc w:val="both"/>
        <w:rPr>
          <w:rFonts w:asciiTheme="majorHAnsi" w:eastAsiaTheme="minorEastAsia" w:hAnsiTheme="majorHAns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PG=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pl-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pl</m:t>
                      </m:r>
                    </m:den>
                  </m:f>
                </m:e>
              </m:d>
            </m:e>
          </m:nary>
        </m:oMath>
      </m:oMathPara>
    </w:p>
    <w:p w:rsidR="003B7021" w:rsidRDefault="003B7021" w:rsidP="00C21076">
      <w:pPr>
        <w:jc w:val="both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Where N is the total population, q is the number of poor, </w:t>
      </w:r>
      <w:proofErr w:type="spellStart"/>
      <w:r>
        <w:rPr>
          <w:rFonts w:asciiTheme="majorHAnsi" w:eastAsiaTheme="minorEastAsia" w:hAnsiTheme="majorHAnsi"/>
          <w:sz w:val="24"/>
          <w:szCs w:val="24"/>
        </w:rPr>
        <w:t>pl</w:t>
      </w:r>
      <w:proofErr w:type="spellEnd"/>
      <w:r>
        <w:rPr>
          <w:rFonts w:asciiTheme="majorHAnsi" w:eastAsiaTheme="minorEastAsia" w:hAnsiTheme="majorHAnsi"/>
          <w:sz w:val="24"/>
          <w:szCs w:val="24"/>
        </w:rPr>
        <w:t xml:space="preserve"> is the poverty line and </w:t>
      </w:r>
      <w:proofErr w:type="gramStart"/>
      <w:r>
        <w:rPr>
          <w:rFonts w:asciiTheme="majorHAnsi" w:eastAsiaTheme="minorEastAsia" w:hAnsiTheme="majorHAnsi"/>
          <w:sz w:val="24"/>
          <w:szCs w:val="24"/>
        </w:rPr>
        <w:t>y(</w:t>
      </w:r>
      <w:proofErr w:type="spellStart"/>
      <w:proofErr w:type="gramEnd"/>
      <w:r>
        <w:rPr>
          <w:rFonts w:asciiTheme="majorHAnsi" w:eastAsiaTheme="minorEastAsia" w:hAnsiTheme="majorHAnsi"/>
          <w:sz w:val="24"/>
          <w:szCs w:val="24"/>
        </w:rPr>
        <w:t>i</w:t>
      </w:r>
      <w:proofErr w:type="spellEnd"/>
      <w:r>
        <w:rPr>
          <w:rFonts w:asciiTheme="majorHAnsi" w:eastAsiaTheme="minorEastAsia" w:hAnsiTheme="majorHAnsi"/>
          <w:sz w:val="24"/>
          <w:szCs w:val="24"/>
        </w:rPr>
        <w:t xml:space="preserve">) is the income of </w:t>
      </w:r>
      <w:r w:rsidR="00622D6F">
        <w:rPr>
          <w:rFonts w:asciiTheme="majorHAnsi" w:eastAsiaTheme="minorEastAsia" w:hAnsiTheme="majorHAnsi"/>
          <w:sz w:val="24"/>
          <w:szCs w:val="24"/>
        </w:rPr>
        <w:t>each person</w:t>
      </w:r>
      <w:r>
        <w:rPr>
          <w:rFonts w:asciiTheme="majorHAnsi" w:eastAsiaTheme="minorEastAsia" w:hAnsiTheme="majorHAnsi"/>
          <w:sz w:val="24"/>
          <w:szCs w:val="24"/>
        </w:rPr>
        <w:t xml:space="preserve"> living below the poverty line.</w:t>
      </w:r>
    </w:p>
    <w:p w:rsidR="00ED3151" w:rsidRDefault="00ED3151" w:rsidP="00C21076">
      <w:pPr>
        <w:jc w:val="both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The poverty severity index takes the square of the poverty gap index:</w:t>
      </w:r>
    </w:p>
    <w:p w:rsidR="00ED3151" w:rsidRDefault="00ED3151" w:rsidP="00C21076">
      <w:pPr>
        <w:jc w:val="both"/>
        <w:rPr>
          <w:rFonts w:asciiTheme="majorHAnsi" w:eastAsiaTheme="minorEastAsia" w:hAnsiTheme="majorHAns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r>
            <w:rPr>
              <w:rFonts w:ascii="Cambria Math" w:hAnsi="Cambria Math"/>
              <w:sz w:val="24"/>
              <w:szCs w:val="24"/>
            </w:rPr>
            <m:t>S</m:t>
          </m:r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PG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622D6F" w:rsidRPr="00565BBF" w:rsidRDefault="00622D6F" w:rsidP="00C21076">
      <w:pPr>
        <w:jc w:val="both"/>
        <w:rPr>
          <w:rFonts w:asciiTheme="majorHAnsi" w:hAnsiTheme="majorHAnsi"/>
          <w:b/>
          <w:sz w:val="24"/>
          <w:szCs w:val="24"/>
        </w:rPr>
      </w:pPr>
    </w:p>
    <w:p w:rsidR="00C21076" w:rsidRPr="00C21076" w:rsidRDefault="00C21076" w:rsidP="00C96186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i/>
          <w:sz w:val="28"/>
          <w:szCs w:val="28"/>
        </w:rPr>
      </w:pPr>
      <w:r w:rsidRPr="00C21076">
        <w:rPr>
          <w:rFonts w:asciiTheme="majorHAnsi" w:hAnsiTheme="majorHAnsi"/>
          <w:i/>
          <w:sz w:val="28"/>
          <w:szCs w:val="28"/>
        </w:rPr>
        <w:t>Important Note</w:t>
      </w:r>
    </w:p>
    <w:p w:rsidR="00C21076" w:rsidRDefault="00C21076" w:rsidP="00C96186">
      <w:pPr>
        <w:jc w:val="both"/>
        <w:rPr>
          <w:rFonts w:asciiTheme="majorHAnsi" w:hAnsiTheme="majorHAnsi"/>
          <w:sz w:val="24"/>
          <w:szCs w:val="24"/>
        </w:rPr>
      </w:pPr>
      <w:bookmarkStart w:id="0" w:name="_GoBack"/>
      <w:bookmarkEnd w:id="0"/>
      <w:r>
        <w:rPr>
          <w:rFonts w:asciiTheme="majorHAnsi" w:hAnsiTheme="majorHAnsi"/>
          <w:sz w:val="24"/>
          <w:szCs w:val="24"/>
        </w:rPr>
        <w:t xml:space="preserve">In order to make the household survey data representative of the entire population, when computing means each observation </w:t>
      </w:r>
      <w:r w:rsidR="004E0687">
        <w:rPr>
          <w:rFonts w:asciiTheme="majorHAnsi" w:hAnsiTheme="majorHAnsi"/>
          <w:sz w:val="24"/>
          <w:szCs w:val="24"/>
        </w:rPr>
        <w:t>has</w:t>
      </w:r>
      <w:r>
        <w:rPr>
          <w:rFonts w:asciiTheme="majorHAnsi" w:hAnsiTheme="majorHAnsi"/>
          <w:sz w:val="24"/>
          <w:szCs w:val="24"/>
        </w:rPr>
        <w:t xml:space="preserve"> to be weighted by its statistical representativeness. The formula for the weighted mean is the following:</w:t>
      </w:r>
    </w:p>
    <w:p w:rsidR="00C21076" w:rsidRPr="00C21076" w:rsidRDefault="00C21076" w:rsidP="00C96186">
      <w:pPr>
        <w:jc w:val="both"/>
        <w:rPr>
          <w:rFonts w:asciiTheme="majorHAnsi" w:hAnsiTheme="majorHAns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wtmean=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den>
          </m:f>
        </m:oMath>
      </m:oMathPara>
    </w:p>
    <w:p w:rsidR="004E0687" w:rsidRDefault="004E0687" w:rsidP="00C96186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Where M is the total number of observations in the dataset, w is the weight and x is the value of the variable of interest.</w:t>
      </w:r>
    </w:p>
    <w:p w:rsidR="004E0687" w:rsidRDefault="004E0687" w:rsidP="00C96186">
      <w:pPr>
        <w:jc w:val="both"/>
        <w:rPr>
          <w:rFonts w:asciiTheme="majorHAnsi" w:hAnsiTheme="majorHAnsi"/>
          <w:sz w:val="24"/>
          <w:szCs w:val="24"/>
        </w:rPr>
      </w:pPr>
    </w:p>
    <w:p w:rsidR="002766BB" w:rsidRDefault="00C21076" w:rsidP="00C96186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Tip: </w:t>
      </w:r>
      <w:r w:rsidR="004E0687">
        <w:rPr>
          <w:rFonts w:asciiTheme="majorHAnsi" w:hAnsiTheme="majorHAnsi"/>
          <w:sz w:val="24"/>
          <w:szCs w:val="24"/>
        </w:rPr>
        <w:t>Weighted means in excel can be calculated as following</w:t>
      </w:r>
      <w:r>
        <w:rPr>
          <w:rFonts w:asciiTheme="majorHAnsi" w:hAnsiTheme="majorHAnsi"/>
          <w:sz w:val="24"/>
          <w:szCs w:val="24"/>
        </w:rPr>
        <w:t>:</w:t>
      </w:r>
    </w:p>
    <w:p w:rsidR="00C21076" w:rsidRPr="002766BB" w:rsidRDefault="00C21076" w:rsidP="00C96186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Weighted mean calories</w:t>
      </w:r>
      <w:r w:rsidRPr="00C21076">
        <w:rPr>
          <w:rFonts w:asciiTheme="majorHAnsi" w:hAnsiTheme="majorHAnsi"/>
          <w:sz w:val="24"/>
          <w:szCs w:val="24"/>
        </w:rPr>
        <w:t>=</w:t>
      </w:r>
      <w:proofErr w:type="gramStart"/>
      <w:r w:rsidRPr="00C21076">
        <w:rPr>
          <w:rFonts w:asciiTheme="majorHAnsi" w:hAnsiTheme="majorHAnsi"/>
          <w:b/>
          <w:sz w:val="24"/>
          <w:szCs w:val="24"/>
        </w:rPr>
        <w:t>SUMPRODUCT(</w:t>
      </w:r>
      <w:proofErr w:type="spellStart"/>
      <w:proofErr w:type="gramEnd"/>
      <w:r>
        <w:rPr>
          <w:rFonts w:asciiTheme="majorHAnsi" w:hAnsiTheme="majorHAnsi"/>
          <w:sz w:val="24"/>
          <w:szCs w:val="24"/>
        </w:rPr>
        <w:t>calories_var</w:t>
      </w:r>
      <w:proofErr w:type="spellEnd"/>
      <w:r w:rsidRPr="00C21076"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>weight</w:t>
      </w:r>
      <w:r w:rsidRPr="00C21076">
        <w:rPr>
          <w:rFonts w:asciiTheme="majorHAnsi" w:hAnsiTheme="majorHAnsi"/>
          <w:b/>
          <w:sz w:val="24"/>
          <w:szCs w:val="24"/>
        </w:rPr>
        <w:t>)/SUM(</w:t>
      </w:r>
      <w:r>
        <w:rPr>
          <w:rFonts w:asciiTheme="majorHAnsi" w:hAnsiTheme="majorHAnsi"/>
          <w:sz w:val="24"/>
          <w:szCs w:val="24"/>
        </w:rPr>
        <w:t>weight</w:t>
      </w:r>
      <w:r w:rsidRPr="00C21076">
        <w:rPr>
          <w:rFonts w:asciiTheme="majorHAnsi" w:hAnsiTheme="majorHAnsi"/>
          <w:b/>
          <w:sz w:val="24"/>
          <w:szCs w:val="24"/>
        </w:rPr>
        <w:t>)</w:t>
      </w:r>
    </w:p>
    <w:p w:rsidR="00C96186" w:rsidRPr="00C96186" w:rsidRDefault="00C96186" w:rsidP="00C96186">
      <w:pPr>
        <w:jc w:val="both"/>
        <w:rPr>
          <w:rFonts w:asciiTheme="majorHAnsi" w:hAnsiTheme="majorHAnsi"/>
          <w:sz w:val="24"/>
          <w:szCs w:val="24"/>
        </w:rPr>
      </w:pPr>
    </w:p>
    <w:p w:rsidR="00C225B6" w:rsidRPr="00C225B6" w:rsidRDefault="00C225B6" w:rsidP="00C96186">
      <w:pPr>
        <w:jc w:val="both"/>
        <w:rPr>
          <w:rFonts w:asciiTheme="majorHAnsi" w:hAnsiTheme="majorHAnsi"/>
          <w:sz w:val="24"/>
          <w:szCs w:val="24"/>
        </w:rPr>
      </w:pPr>
    </w:p>
    <w:sectPr w:rsidR="00C225B6" w:rsidRPr="00C225B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B3E" w:rsidRDefault="00386B3E" w:rsidP="00852C8D">
      <w:pPr>
        <w:spacing w:after="0" w:line="240" w:lineRule="auto"/>
      </w:pPr>
      <w:r>
        <w:separator/>
      </w:r>
    </w:p>
  </w:endnote>
  <w:endnote w:type="continuationSeparator" w:id="0">
    <w:p w:rsidR="00386B3E" w:rsidRDefault="00386B3E" w:rsidP="00852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651718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5BBF" w:rsidRDefault="00565B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068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65BBF" w:rsidRDefault="00565B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B3E" w:rsidRDefault="00386B3E" w:rsidP="00852C8D">
      <w:pPr>
        <w:spacing w:after="0" w:line="240" w:lineRule="auto"/>
      </w:pPr>
      <w:r>
        <w:separator/>
      </w:r>
    </w:p>
  </w:footnote>
  <w:footnote w:type="continuationSeparator" w:id="0">
    <w:p w:rsidR="00386B3E" w:rsidRDefault="00386B3E" w:rsidP="00852C8D">
      <w:pPr>
        <w:spacing w:after="0" w:line="240" w:lineRule="auto"/>
      </w:pPr>
      <w:r>
        <w:continuationSeparator/>
      </w:r>
    </w:p>
  </w:footnote>
  <w:footnote w:id="1">
    <w:p w:rsidR="00C96186" w:rsidRDefault="00C96186" w:rsidP="00C9618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i/>
          <w:iCs/>
          <w:color w:val="222222"/>
        </w:rPr>
        <w:t>WHO global database on child growth and malnutrition</w:t>
      </w:r>
      <w:r>
        <w:rPr>
          <w:rFonts w:ascii="Arial" w:hAnsi="Arial" w:cs="Arial"/>
          <w:color w:val="222222"/>
        </w:rPr>
        <w:t>. Geneva: World Health Organization, 1997.</w:t>
      </w:r>
    </w:p>
  </w:footnote>
  <w:footnote w:id="2">
    <w:p w:rsidR="00ED3151" w:rsidRDefault="00ED315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</w:rPr>
        <w:t xml:space="preserve">Haughton, J. H., &amp; </w:t>
      </w:r>
      <w:proofErr w:type="spellStart"/>
      <w:r>
        <w:rPr>
          <w:rFonts w:ascii="Arial" w:hAnsi="Arial" w:cs="Arial"/>
          <w:color w:val="222222"/>
        </w:rPr>
        <w:t>Khandker</w:t>
      </w:r>
      <w:proofErr w:type="spellEnd"/>
      <w:r>
        <w:rPr>
          <w:rFonts w:ascii="Arial" w:hAnsi="Arial" w:cs="Arial"/>
          <w:color w:val="222222"/>
        </w:rPr>
        <w:t xml:space="preserve">, S. R. (2009). </w:t>
      </w:r>
      <w:r>
        <w:rPr>
          <w:rFonts w:ascii="Arial" w:hAnsi="Arial" w:cs="Arial"/>
          <w:i/>
          <w:iCs/>
          <w:color w:val="222222"/>
        </w:rPr>
        <w:t>Handbook on poverty and inequality</w:t>
      </w:r>
      <w:r>
        <w:rPr>
          <w:rFonts w:ascii="Arial" w:hAnsi="Arial" w:cs="Arial"/>
          <w:color w:val="222222"/>
        </w:rPr>
        <w:t>. World Bank Publications.</w:t>
      </w:r>
      <w:r>
        <w:rPr>
          <w:rFonts w:ascii="Arial" w:hAnsi="Arial" w:cs="Arial"/>
          <w:color w:val="222222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A2289"/>
    <w:multiLevelType w:val="hybridMultilevel"/>
    <w:tmpl w:val="8B48EF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145559"/>
    <w:multiLevelType w:val="hybridMultilevel"/>
    <w:tmpl w:val="318C33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0B3B23"/>
    <w:multiLevelType w:val="hybridMultilevel"/>
    <w:tmpl w:val="DD56D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5B6"/>
    <w:rsid w:val="00054FE2"/>
    <w:rsid w:val="000A79BE"/>
    <w:rsid w:val="000E2380"/>
    <w:rsid w:val="001A157F"/>
    <w:rsid w:val="002766BB"/>
    <w:rsid w:val="00386B3E"/>
    <w:rsid w:val="003B6339"/>
    <w:rsid w:val="003B7021"/>
    <w:rsid w:val="004C1E24"/>
    <w:rsid w:val="004E0687"/>
    <w:rsid w:val="00565BBF"/>
    <w:rsid w:val="00622D6F"/>
    <w:rsid w:val="006C2A72"/>
    <w:rsid w:val="00757169"/>
    <w:rsid w:val="00782474"/>
    <w:rsid w:val="00852C8D"/>
    <w:rsid w:val="008E767A"/>
    <w:rsid w:val="0092214B"/>
    <w:rsid w:val="00A9572C"/>
    <w:rsid w:val="00AB7F1C"/>
    <w:rsid w:val="00BB753E"/>
    <w:rsid w:val="00C21076"/>
    <w:rsid w:val="00C225B6"/>
    <w:rsid w:val="00C341C0"/>
    <w:rsid w:val="00C905D4"/>
    <w:rsid w:val="00C96186"/>
    <w:rsid w:val="00DB5D08"/>
    <w:rsid w:val="00ED3151"/>
    <w:rsid w:val="00FC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723D1-F4AC-42F7-BC9F-E99FAC2CE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5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5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225B6"/>
    <w:pPr>
      <w:ind w:left="720"/>
      <w:contextualSpacing/>
    </w:pPr>
  </w:style>
  <w:style w:type="table" w:styleId="TableGrid">
    <w:name w:val="Table Grid"/>
    <w:basedOn w:val="TableNormal"/>
    <w:uiPriority w:val="39"/>
    <w:rsid w:val="00C22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57169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52C8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2C8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2C8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65B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BBF"/>
  </w:style>
  <w:style w:type="paragraph" w:styleId="Footer">
    <w:name w:val="footer"/>
    <w:basedOn w:val="Normal"/>
    <w:link w:val="FooterChar"/>
    <w:uiPriority w:val="99"/>
    <w:unhideWhenUsed/>
    <w:rsid w:val="00565B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BBF"/>
  </w:style>
  <w:style w:type="table" w:styleId="PlainTable2">
    <w:name w:val="Plain Table 2"/>
    <w:basedOn w:val="TableNormal"/>
    <w:uiPriority w:val="42"/>
    <w:rsid w:val="004C1E2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CE"/>
    <w:rsid w:val="005871D4"/>
    <w:rsid w:val="00C5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17C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89635-8448-4A92-B2F2-7F8C14DA1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IFPRI</Company>
  <LinksUpToDate>false</LinksUpToDate>
  <CharactersWithSpaces>6162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Signorelli, Sara (IFPRI)</dc:creator>
  <cp:keywords/>
  <dc:description/>
  <cp:lastModifiedBy>Signorelli, Sara (IFPRI)</cp:lastModifiedBy>
  <cp:revision>4</cp:revision>
  <dcterms:created xsi:type="dcterms:W3CDTF">2015-05-28T15:13:00Z</dcterms:created>
  <dcterms:modified xsi:type="dcterms:W3CDTF">2015-05-28T19:22:00Z</dcterms:modified>
</cp:coreProperties>
</file>