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w:t>
      </w:r>
    </w:p>
    <w:p>
      <w:pPr>
        <w:pStyle w:val="Author"/>
      </w:pPr>
      <w:r>
        <w:t xml:space="preserve">Applied</w:t>
      </w:r>
      <w:r>
        <w:t xml:space="preserve"> </w:t>
      </w:r>
      <w:r>
        <w:t xml:space="preserve">Population</w:t>
      </w:r>
      <w:r>
        <w:t xml:space="preserve"> </w:t>
      </w:r>
      <w:r>
        <w:t xml:space="preserve">Ecology</w:t>
      </w:r>
    </w:p>
    <w:p>
      <w:pPr>
        <w:pStyle w:val="FirstParagraph"/>
      </w:pPr>
      <w:r>
        <w:rPr>
          <w:b/>
        </w:rPr>
        <w:t xml:space="preserve">Instructor:</w:t>
      </w:r>
      <w:r>
        <w:t xml:space="preserve"> </w:t>
      </w:r>
      <w:r>
        <w:t xml:space="preserve">Kevin Shoemaker</w:t>
      </w:r>
      <w:r>
        <w:br w:type="textWrapping"/>
      </w:r>
      <w:r>
        <w:rPr>
          <w:b/>
        </w:rPr>
        <w:t xml:space="preserve">Teaching Assistant</w:t>
      </w:r>
      <w:r>
        <w:t xml:space="preserve"> </w:t>
      </w:r>
      <w:r>
        <w:t xml:space="preserve">Ben Sedinger</w:t>
      </w:r>
      <w:r>
        <w:br w:type="textWrapping"/>
      </w:r>
      <w:r>
        <w:rPr>
          <w:b/>
        </w:rPr>
        <w:t xml:space="preserve">Instructor's Office</w:t>
      </w:r>
      <w:r>
        <w:t xml:space="preserve">: FA 220E</w:t>
      </w:r>
      <w:r>
        <w:br w:type="textWrapping"/>
      </w:r>
      <w:r>
        <w:rPr>
          <w:b/>
        </w:rPr>
        <w:t xml:space="preserve">Phone</w:t>
      </w:r>
      <w:r>
        <w:t xml:space="preserve">: (775) 682-7449</w:t>
      </w:r>
      <w:r>
        <w:br w:type="textWrapping"/>
      </w:r>
      <w:r>
        <w:rPr>
          <w:b/>
        </w:rPr>
        <w:t xml:space="preserve">Email</w:t>
      </w:r>
      <w:r>
        <w:t xml:space="preserve">: kshoemaker_at_cabnr.unr.edu</w:t>
      </w:r>
    </w:p>
    <w:p>
      <w:pPr>
        <w:pStyle w:val="BodyText"/>
      </w:pPr>
      <w:r>
        <w:rPr>
          <w:b/>
        </w:rPr>
        <w:t xml:space="preserve">Website</w:t>
      </w:r>
      <w:r>
        <w:t xml:space="preserve">:</w:t>
      </w:r>
      <w:r>
        <w:t xml:space="preserve"> </w:t>
      </w:r>
      <w:hyperlink r:id="rId21">
        <w:r>
          <w:rPr>
            <w:rStyle w:val="Hyperlink"/>
          </w:rPr>
          <w:t xml:space="preserve">naes.unr.edu/shoemaker/teaching/NRES-470</w:t>
        </w:r>
      </w:hyperlink>
    </w:p>
    <w:p>
      <w:pPr>
        <w:pStyle w:val="Heading3"/>
      </w:pPr>
      <w:bookmarkStart w:id="22" w:name="course-meeting-times"/>
      <w:bookmarkEnd w:id="22"/>
      <w:r>
        <w:t xml:space="preserve">Course Meeting Times</w:t>
      </w:r>
    </w:p>
    <w:p>
      <w:pPr>
        <w:pStyle w:val="FirstParagraph"/>
      </w:pPr>
      <w:r>
        <w:rPr>
          <w:b/>
        </w:rPr>
        <w:t xml:space="preserve">Lecture &amp; Discussion</w:t>
      </w:r>
      <w:r>
        <w:t xml:space="preserve">: M, W at 10am (50 mins) (NOTE: please bring your laptop to class!)</w:t>
      </w:r>
      <w:r>
        <w:br w:type="textWrapping"/>
      </w:r>
      <w:r>
        <w:rPr>
          <w:b/>
        </w:rPr>
        <w:t xml:space="preserve">Lab</w:t>
      </w:r>
      <w:r>
        <w:t xml:space="preserve">: F at 10am (3 hours)</w:t>
      </w:r>
      <w:r>
        <w:t xml:space="preserve"> </w:t>
      </w:r>
      <w:r>
        <w:rPr>
          <w:b/>
        </w:rPr>
        <w:t xml:space="preserve">Office hours</w:t>
      </w:r>
      <w:r>
        <w:t xml:space="preserve">:</w:t>
      </w:r>
      <w:r>
        <w:br w:type="textWrapping"/>
      </w:r>
      <w:r>
        <w:t xml:space="preserve">- Shoemaker: Wed from 11 to noon (FA 220E)</w:t>
      </w:r>
      <w:r>
        <w:br w:type="textWrapping"/>
      </w:r>
      <w:r>
        <w:t xml:space="preserve">- Sedinger: TBD</w:t>
      </w:r>
    </w:p>
    <w:p>
      <w:pPr>
        <w:pStyle w:val="Compact"/>
        <w:numPr>
          <w:numId w:val="1001"/>
          <w:ilvl w:val="0"/>
        </w:numPr>
      </w:pPr>
      <w:r>
        <w:t xml:space="preserve">Lectures and Labs will be held in</w:t>
      </w:r>
      <w:r>
        <w:t xml:space="preserve"> </w:t>
      </w:r>
      <w:r>
        <w:rPr>
          <w:b/>
        </w:rPr>
        <w:t xml:space="preserve">FA 301</w:t>
      </w:r>
      <w:r>
        <w:br w:type="textWrapping"/>
      </w:r>
    </w:p>
    <w:p>
      <w:pPr>
        <w:pStyle w:val="Compact"/>
        <w:numPr>
          <w:numId w:val="1001"/>
          <w:ilvl w:val="0"/>
        </w:numPr>
      </w:pPr>
      <w:r>
        <w:t xml:space="preserve">Labs may occasionally be held in the NRES computer lab (</w:t>
      </w:r>
      <w:r>
        <w:rPr>
          <w:b/>
        </w:rPr>
        <w:t xml:space="preserve">FA 234</w:t>
      </w:r>
      <w:r>
        <w:t xml:space="preserve">)</w:t>
      </w:r>
    </w:p>
    <w:p>
      <w:pPr>
        <w:pStyle w:val="Heading3"/>
      </w:pPr>
      <w:bookmarkStart w:id="23" w:name="texts"/>
      <w:bookmarkEnd w:id="23"/>
      <w:r>
        <w:t xml:space="preserve">Texts</w:t>
      </w:r>
    </w:p>
    <w:p>
      <w:pPr>
        <w:pStyle w:val="Compact"/>
        <w:numPr>
          <w:numId w:val="1002"/>
          <w:ilvl w:val="0"/>
        </w:numPr>
      </w:pPr>
      <w:hyperlink r:id="rId24">
        <w:r>
          <w:rPr>
            <w:rStyle w:val="Hyperlink"/>
          </w:rPr>
          <w:t xml:space="preserve">Gotelli, N. J. (1995). A primer of ecology</w:t>
        </w:r>
      </w:hyperlink>
      <w:r>
        <w:br w:type="textWrapping"/>
      </w:r>
    </w:p>
    <w:p>
      <w:pPr>
        <w:pStyle w:val="Compact"/>
        <w:numPr>
          <w:numId w:val="1002"/>
          <w:ilvl w:val="0"/>
        </w:numPr>
      </w:pPr>
      <w:hyperlink r:id="rId25">
        <w:r>
          <w:rPr>
            <w:rStyle w:val="Hyperlink"/>
          </w:rPr>
          <w:t xml:space="preserve">Beyond Connecting the Dots</w:t>
        </w:r>
      </w:hyperlink>
      <w:r>
        <w:t xml:space="preserve"> </w:t>
      </w:r>
      <w:r>
        <w:t xml:space="preserve">(free download)</w:t>
      </w:r>
      <w:r>
        <w:br w:type="textWrapping"/>
      </w:r>
      <w:r>
        <w:t xml:space="preserve">â€¢ Additional readings from the primary literature will be assigned for discussion periodically.</w:t>
      </w:r>
    </w:p>
    <w:p>
      <w:pPr>
        <w:pStyle w:val="Heading3"/>
      </w:pPr>
      <w:bookmarkStart w:id="26" w:name="software"/>
      <w:bookmarkEnd w:id="26"/>
      <w:r>
        <w:t xml:space="preserve">Software</w:t>
      </w:r>
    </w:p>
    <w:p>
      <w:pPr>
        <w:pStyle w:val="Compact"/>
        <w:numPr>
          <w:numId w:val="1003"/>
          <w:ilvl w:val="0"/>
        </w:numPr>
      </w:pPr>
      <w:hyperlink r:id="rId27">
        <w:r>
          <w:rPr>
            <w:rStyle w:val="Hyperlink"/>
          </w:rPr>
          <w:t xml:space="preserve">InsightMaker- free web-based systems modeling tool</w:t>
        </w:r>
      </w:hyperlink>
      <w:r>
        <w:t xml:space="preserve">(no installation needed)</w:t>
      </w:r>
      <w:r>
        <w:br w:type="textWrapping"/>
      </w:r>
    </w:p>
    <w:p>
      <w:pPr>
        <w:pStyle w:val="Compact"/>
        <w:numPr>
          <w:numId w:val="1003"/>
          <w:ilvl w:val="0"/>
        </w:numPr>
      </w:pPr>
      <w:hyperlink r:id="rId28">
        <w:r>
          <w:rPr>
            <w:rStyle w:val="Hyperlink"/>
          </w:rPr>
          <w:t xml:space="preserve">R- free statistical programming language</w:t>
        </w:r>
      </w:hyperlink>
      <w:r>
        <w:br w:type="textWrapping"/>
      </w:r>
    </w:p>
    <w:p>
      <w:pPr>
        <w:pStyle w:val="Compact"/>
        <w:numPr>
          <w:numId w:val="1003"/>
          <w:ilvl w:val="0"/>
        </w:numPr>
      </w:pPr>
      <w:hyperlink r:id="rId29">
        <w:r>
          <w:rPr>
            <w:rStyle w:val="Hyperlink"/>
          </w:rPr>
          <w:t xml:space="preserve">Program MARK</w:t>
        </w:r>
      </w:hyperlink>
      <w:r>
        <w:br w:type="textWrapping"/>
      </w:r>
    </w:p>
    <w:p>
      <w:pPr>
        <w:pStyle w:val="Compact"/>
        <w:numPr>
          <w:numId w:val="1003"/>
          <w:ilvl w:val="0"/>
        </w:numPr>
      </w:pPr>
      <w:r>
        <w:t xml:space="preserve">MS Excel (hopefully you already have this or equivalent spreadsheet software on your laptop!)</w:t>
      </w:r>
    </w:p>
    <w:p>
      <w:pPr>
        <w:pStyle w:val="Heading3"/>
      </w:pPr>
      <w:bookmarkStart w:id="30" w:name="prerequisites"/>
      <w:bookmarkEnd w:id="30"/>
      <w:r>
        <w:t xml:space="preserve">Prerequisites</w:t>
      </w:r>
    </w:p>
    <w:p>
      <w:pPr>
        <w:pStyle w:val="Compact"/>
        <w:numPr>
          <w:numId w:val="1004"/>
          <w:ilvl w:val="0"/>
        </w:numPr>
      </w:pPr>
      <w:r>
        <w:t xml:space="preserve">BIOL 314 or NRES 217 (Ecology)</w:t>
      </w:r>
      <w:r>
        <w:br w:type="textWrapping"/>
      </w:r>
    </w:p>
    <w:p>
      <w:pPr>
        <w:pStyle w:val="Compact"/>
        <w:numPr>
          <w:numId w:val="1004"/>
          <w:ilvl w:val="0"/>
        </w:numPr>
      </w:pPr>
      <w:r>
        <w:t xml:space="preserve">NRES 310 (Wildlife Ecology and Management)</w:t>
      </w:r>
    </w:p>
    <w:p>
      <w:pPr>
        <w:pStyle w:val="Heading3"/>
      </w:pPr>
      <w:bookmarkStart w:id="31" w:name="class-description"/>
      <w:bookmarkEnd w:id="31"/>
      <w:r>
        <w:t xml:space="preserve">Class description</w:t>
      </w:r>
    </w:p>
    <w:p>
      <w:pPr>
        <w:pStyle w:val="FirstParagraph"/>
      </w:pPr>
      <w:r>
        <w:t xml:space="preserve">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occupancy models, habitat-suitability models, metapopulation models, species co-occurrence models, projecting population response to climate change and more. Laboratory exercises will provide students with hands-on experience with ecological models and their practical applications in the conservation and management of wild populations.</w:t>
      </w:r>
    </w:p>
    <w:p>
      <w:pPr>
        <w:pStyle w:val="Heading3"/>
      </w:pPr>
      <w:bookmarkStart w:id="32" w:name="learning-outcomes"/>
      <w:bookmarkEnd w:id="32"/>
      <w:r>
        <w:t xml:space="preserve">Learning outcomes</w:t>
      </w:r>
    </w:p>
    <w:p>
      <w:pPr>
        <w:pStyle w:val="Compact"/>
        <w:numPr>
          <w:numId w:val="1005"/>
          <w:ilvl w:val="0"/>
        </w:numPr>
      </w:pPr>
      <w:r>
        <w:t xml:space="preserve">Identify the major classes of models used by ecologists (e.g., statistical vs mechanistic, quantitative vs heuristic, stochastic vs deterministic) and explain how and why ecologists use these models.</w:t>
      </w:r>
      <w:r>
        <w:br w:type="textWrapping"/>
      </w:r>
    </w:p>
    <w:p>
      <w:pPr>
        <w:pStyle w:val="Compact"/>
        <w:numPr>
          <w:numId w:val="1005"/>
          <w:ilvl w:val="0"/>
        </w:numPr>
      </w:pPr>
      <w:r>
        <w:t xml:space="preserve">Apply tools such as population viability analysis (PVA), occupancy models, and metapopulation models to address the conservation and management of natural populations.</w:t>
      </w:r>
      <w:r>
        <w:br w:type="textWrapping"/>
      </w:r>
    </w:p>
    <w:p>
      <w:pPr>
        <w:pStyle w:val="Compact"/>
        <w:numPr>
          <w:numId w:val="1005"/>
          <w:ilvl w:val="0"/>
        </w:numPr>
      </w:pPr>
      <w:r>
        <w:t xml:space="preserve">Perform basic statistics, data visualization, simulation modeling and model validation with Excel, the statistical computing language â€œRâ€, and the web-based software, InsightMaker.</w:t>
      </w:r>
      <w:r>
        <w:br w:type="textWrapping"/>
      </w:r>
    </w:p>
    <w:p>
      <w:pPr>
        <w:pStyle w:val="Compact"/>
        <w:numPr>
          <w:numId w:val="1005"/>
          <w:ilvl w:val="0"/>
        </w:numPr>
      </w:pPr>
      <w:r>
        <w:t xml:space="preserve">Critically evaluate the strength of inferences drawn from ecological simulation models using tools such as cross-validation and sensitivity analysis.</w:t>
      </w:r>
      <w:r>
        <w:br w:type="textWrapping"/>
      </w:r>
    </w:p>
    <w:p>
      <w:pPr>
        <w:pStyle w:val="Compact"/>
        <w:numPr>
          <w:numId w:val="1005"/>
          <w:ilvl w:val="0"/>
        </w:numPr>
      </w:pPr>
      <w:r>
        <w:t xml:space="preserve">Explain how species interactions can influence population dynamics (e.g., predictions of species range shifts), and formulate strategies for accounting for species interactions in ecological models.</w:t>
      </w:r>
      <w:r>
        <w:br w:type="textWrapping"/>
      </w:r>
    </w:p>
    <w:p>
      <w:pPr>
        <w:pStyle w:val="Compact"/>
        <w:numPr>
          <w:numId w:val="1005"/>
          <w:ilvl w:val="0"/>
        </w:numPr>
      </w:pPr>
      <w:r>
        <w:t xml:space="preserve">Communicate original research in applied population and community ecology via a professional-style oral presentation.</w:t>
      </w:r>
    </w:p>
    <w:p>
      <w:pPr>
        <w:pStyle w:val="Heading3"/>
      </w:pPr>
      <w:bookmarkStart w:id="33" w:name="grading"/>
      <w:bookmarkEnd w:id="33"/>
      <w:r>
        <w:t xml:space="preserve">Grading:</w:t>
      </w:r>
    </w:p>
    <w:p>
      <w:pPr>
        <w:pStyle w:val="FirstParagraph"/>
      </w:pPr>
      <w:r>
        <w:t xml:space="preserve">The course grade will be based on the following components:</w:t>
      </w:r>
    </w:p>
    <w:p>
      <w:pPr>
        <w:pStyle w:val="BodyText"/>
      </w:pPr>
      <w:r>
        <w:t xml:space="preserve">Lab exercises (8 total) 20% (80 points)</w:t>
      </w:r>
      <w:r>
        <w:br w:type="textWrapping"/>
      </w:r>
      <w:r>
        <w:t xml:space="preserve">Quizzes and participation 10% (40 points)</w:t>
      </w:r>
      <w:r>
        <w:br w:type="textWrapping"/>
      </w:r>
      <w:r>
        <w:t xml:space="preserve">Group project 25% (100 points)</w:t>
      </w:r>
      <w:r>
        <w:br w:type="textWrapping"/>
      </w:r>
      <w:r>
        <w:t xml:space="preserve">Midterm exam # 1 (date TBD) 10% (40 points)</w:t>
      </w:r>
      <w:r>
        <w:br w:type="textWrapping"/>
      </w:r>
      <w:r>
        <w:t xml:space="preserve">Midterm exam # 2 (date TBD) 10% (40 points)</w:t>
      </w:r>
      <w:r>
        <w:br w:type="textWrapping"/>
      </w:r>
      <w:r>
        <w:t xml:space="preserve">Final exam (5/11/2018) 25% (100 points)</w:t>
      </w:r>
    </w:p>
    <w:p>
      <w:pPr>
        <w:pStyle w:val="BodyText"/>
      </w:pPr>
      <w:r>
        <w:t xml:space="preserve">NOTE: Graduate students enrolled in NRES 670 will have an additional 50 pts used to calculate their grade (see below) of a total of 370 points.</w:t>
      </w:r>
      <w:r>
        <w:t xml:space="preserve"> </w:t>
      </w:r>
      <w:r>
        <w:t xml:space="preserve">Grading scale: A (100 to 93), A- (92 to 90), B+ (89 to 87), B (86 to 83), B- (82 to 80), C+ (79 to 77), C (76 to 73), C- (72 to 70), D+ (69 to 67), D (66 to 63), D- (62 to 60), F (below 60).</w:t>
      </w:r>
    </w:p>
    <w:p>
      <w:pPr>
        <w:pStyle w:val="Heading3"/>
      </w:pPr>
      <w:bookmarkStart w:id="34" w:name="exams"/>
      <w:bookmarkEnd w:id="34"/>
      <w:r>
        <w:t xml:space="preserve">Exams:</w:t>
      </w:r>
    </w:p>
    <w:p>
      <w:pPr>
        <w:pStyle w:val="FirstParagraph"/>
      </w:pPr>
      <w:r>
        <w:t xml:space="preserve">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pPr>
        <w:pStyle w:val="Heading3"/>
      </w:pPr>
      <w:bookmarkStart w:id="35" w:name="lectures"/>
      <w:bookmarkEnd w:id="35"/>
      <w:r>
        <w:t xml:space="preserve">Lectures</w:t>
      </w:r>
    </w:p>
    <w:p>
      <w:pPr>
        <w:pStyle w:val="FirstParagraph"/>
      </w:pPr>
      <w:r>
        <w:t xml:space="preserve">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frequent problem-solving activities (in class).</w:t>
      </w:r>
    </w:p>
    <w:p>
      <w:pPr>
        <w:pStyle w:val="Heading3"/>
      </w:pPr>
      <w:bookmarkStart w:id="36" w:name="labs"/>
      <w:bookmarkEnd w:id="36"/>
      <w:r>
        <w:t xml:space="preserve">Labs</w:t>
      </w:r>
    </w:p>
    <w:p>
      <w:pPr>
        <w:pStyle w:val="FirstParagraph"/>
      </w:pPr>
      <w:r>
        <w:t xml:space="preserve">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pPr>
        <w:pStyle w:val="Heading3"/>
      </w:pPr>
      <w:bookmarkStart w:id="37" w:name="final-group-project"/>
      <w:bookmarkEnd w:id="37"/>
      <w:r>
        <w:t xml:space="preserve">Final group project</w:t>
      </w:r>
    </w:p>
    <w:p>
      <w:pPr>
        <w:pStyle w:val="FirstParagraph"/>
      </w:pPr>
      <w:r>
        <w:t xml:space="preserve">Students will work in groups of ~2-3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pPr>
        <w:pStyle w:val="Heading3"/>
      </w:pPr>
      <w:bookmarkStart w:id="38" w:name="graduate-credit-for-students-enrolled-in-nres-670"/>
      <w:bookmarkEnd w:id="38"/>
      <w:r>
        <w:t xml:space="preserve">Graduate credit (for students enrolled in NRES 670)</w:t>
      </w:r>
    </w:p>
    <w:p>
      <w:pPr>
        <w:pStyle w:val="FirstParagraph"/>
      </w:pPr>
      <w:r>
        <w:t xml:space="preserve">Graduate students will be subject to additional expectations in order to receive graduate credit for this course. In particular, graduate students will be expected to develop an original lecture and lead an original lab activity. Graduate students will also be expected to achieve a deeper understanding of the course material, and therefore will be assigned additional readings from the scientific literature and will be expected to participate as leaders in discussions and lab activities.</w:t>
      </w:r>
    </w:p>
    <w:p>
      <w:pPr>
        <w:pStyle w:val="Heading3"/>
      </w:pPr>
      <w:bookmarkStart w:id="39" w:name="make-up-policy-and-late-work"/>
      <w:bookmarkEnd w:id="39"/>
      <w:r>
        <w:t xml:space="preserve">Make-up policy and late work:</w:t>
      </w:r>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40" w:name="students-with-disabilities"/>
      <w:bookmarkEnd w:id="40"/>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41" w:name="statement-on-academic-dishonesty"/>
      <w:bookmarkEnd w:id="41"/>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w:t>
      </w:r>
      <w:r>
        <w:t xml:space="preserve"> </w:t>
      </w:r>
      <w:hyperlink r:id="rId42">
        <w:r>
          <w:rPr>
            <w:rStyle w:val="Hyperlink"/>
          </w:rPr>
          <w:t xml:space="preserve">University of Nevada, Reno General Catalog</w:t>
        </w:r>
      </w:hyperlink>
      <w:r>
        <w:t xml:space="preserve">.</w:t>
      </w:r>
    </w:p>
    <w:p>
      <w:pPr>
        <w:pStyle w:val="Heading3"/>
      </w:pPr>
      <w:bookmarkStart w:id="43" w:name="statement-on-audio-and-video-recording"/>
      <w:bookmarkEnd w:id="43"/>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pPr>
        <w:pStyle w:val="Heading3"/>
      </w:pPr>
      <w:bookmarkStart w:id="44" w:name="statement-for-academic-success-services"/>
      <w:bookmarkEnd w:id="44"/>
      <w:r>
        <w:t xml:space="preserve">Statement for Academic Success Services</w:t>
      </w:r>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p>
      <w:pPr>
        <w:pStyle w:val="Heading3"/>
      </w:pPr>
      <w:bookmarkStart w:id="45" w:name="this-is-a-safe-space"/>
      <w:bookmarkEnd w:id="45"/>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Universityâ€™s Equal Opportunity &amp; Title IX Office at 775-784-1547. Resources and interim measures are available to assist you. For more information, please visit:</w:t>
      </w:r>
      <w:r>
        <w:t xml:space="preserve"> </w:t>
      </w:r>
      <w:hyperlink r:id="rId46">
        <w:r>
          <w:rPr>
            <w:rStyle w:val="Hyperlink"/>
          </w:rPr>
          <w:t xml:space="preserve">http://www.unr.edu/equal-opportunity-title-ix</w:t>
        </w:r>
      </w:hyperlink>
      <w:r>
        <w:t xml:space="preserve"> </w:t>
      </w:r>
      <w:r>
        <w:t xml:space="preserve">.â€</w:t>
      </w:r>
    </w:p>
    <w:p>
      <w:pPr>
        <w:pStyle w:val="Heading3"/>
      </w:pPr>
      <w:bookmarkStart w:id="47" w:name="class-protocol"/>
      <w:bookmarkEnd w:id="47"/>
      <w:r>
        <w:t xml:space="preserve">Class protocol</w:t>
      </w:r>
    </w:p>
    <w:p>
      <w:pPr>
        <w:pStyle w:val="FirstParagraph"/>
      </w:pPr>
      <w:r>
        <w:t xml:space="preserve">All mobile electronic devices are to be turned off during class unless the instructor gives advance permission (but laptop computers will be used in class regularly).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4d38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43bb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a66d7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beyondconnectingthedots.com/" TargetMode="External" /><Relationship Type="http://schemas.openxmlformats.org/officeDocument/2006/relationships/hyperlink" Id="rId42" Target="http://catalog.unr.edu/"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46" Target="http://www.unr.edu/equal-opportunity-title-ix"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_rels/footnotes.xml.rels><?xml version="1.0" encoding="UTF-8"?>
<Relationships xmlns="http://schemas.openxmlformats.org/package/2006/relationships"><Relationship Type="http://schemas.openxmlformats.org/officeDocument/2006/relationships/hyperlink" Id="rId25" Target="http://beyondconnectingthedots.com/" TargetMode="External" /><Relationship Type="http://schemas.openxmlformats.org/officeDocument/2006/relationships/hyperlink" Id="rId42" Target="http://catalog.unr.edu/"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46" Target="http://www.unr.edu/equal-opportunity-title-ix"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dc:title>
  <dc:creator>Applied Population Ecology</dc:creator>
  <dcterms:created xsi:type="dcterms:W3CDTF">2018-01-21T06:04:28Z</dcterms:created>
  <dcterms:modified xsi:type="dcterms:W3CDTF">2018-01-21T06:04:28Z</dcterms:modified>
</cp:coreProperties>
</file>