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9BA7D" w14:textId="77777777" w:rsidR="00991EA2" w:rsidRDefault="00991EA2" w:rsidP="00991EA2">
      <w:pPr>
        <w:rPr>
          <w:lang w:val="en-US"/>
        </w:rPr>
      </w:pPr>
      <w:r>
        <w:rPr>
          <w:lang w:val="en-US"/>
        </w:rPr>
        <w:t>Just a bit more stuff I have been working on with the AIC…. May be of interest. A bit of a jumble…</w:t>
      </w:r>
    </w:p>
    <w:p w14:paraId="4824363C" w14:textId="77777777" w:rsidR="00991EA2" w:rsidRDefault="00991EA2" w:rsidP="00991EA2">
      <w:pPr>
        <w:rPr>
          <w:lang w:val="en-US"/>
        </w:rPr>
      </w:pPr>
    </w:p>
    <w:p w14:paraId="167C7DE1" w14:textId="77777777" w:rsidR="00991EA2" w:rsidRDefault="00991EA2" w:rsidP="00991EA2">
      <w:pPr>
        <w:snapToGrid w:val="0"/>
        <w:spacing w:after="240" w:line="260" w:lineRule="atLeast"/>
        <w:rPr>
          <w:rFonts w:ascii="Palatino Linotype" w:hAnsi="Palatino Linotype"/>
          <w:sz w:val="20"/>
          <w:szCs w:val="20"/>
          <w:lang w:val="en-US"/>
        </w:rPr>
      </w:pPr>
      <w:r>
        <w:rPr>
          <w:rFonts w:ascii="Palatino Linotype" w:hAnsi="Palatino Linotype"/>
          <w:sz w:val="20"/>
          <w:szCs w:val="20"/>
          <w:lang w:val="en-US"/>
        </w:rPr>
        <w:t>To determine the parameters for the AIC, consider the multiple regression model</w:t>
      </w:r>
    </w:p>
    <w:p w14:paraId="30DE1F09" w14:textId="77777777" w:rsidR="00991EA2" w:rsidRDefault="00991EA2" w:rsidP="00991EA2">
      <w:pPr>
        <w:snapToGrid w:val="0"/>
        <w:spacing w:after="240" w:line="260" w:lineRule="atLeast"/>
        <w:rPr>
          <w:rFonts w:ascii="Palatino Linotype" w:hAnsi="Palatino Linotype"/>
          <w:sz w:val="20"/>
          <w:szCs w:val="20"/>
          <w:lang w:val="en-US"/>
        </w:rPr>
      </w:pPr>
    </w:p>
    <w:p w14:paraId="5A04D028" w14:textId="77777777" w:rsidR="00991EA2" w:rsidRDefault="00991EA2" w:rsidP="00991EA2">
      <w:pPr>
        <w:snapToGrid w:val="0"/>
        <w:spacing w:after="240" w:line="260" w:lineRule="atLeast"/>
        <w:rPr>
          <w:rFonts w:ascii="Palatino Linotype" w:hAnsi="Palatino Linotype"/>
          <w:sz w:val="20"/>
          <w:szCs w:val="20"/>
          <w:lang w:val="en-US"/>
        </w:rPr>
      </w:pPr>
      <m:oMath>
        <m:r>
          <w:rPr>
            <w:rFonts w:ascii="Cambria Math" w:hAnsi="Cambria Math"/>
            <w:sz w:val="20"/>
            <w:szCs w:val="20"/>
            <w:lang w:val="en-US"/>
          </w:rPr>
          <m:t>E</m:t>
        </m:r>
        <m:d>
          <m:dPr>
            <m:ctrlPr>
              <w:rPr>
                <w:rFonts w:ascii="Cambria Math" w:hAnsi="Cambria Math"/>
                <w:i/>
                <w:iCs/>
              </w:rPr>
            </m:ctrlPr>
          </m:dPr>
          <m:e>
            <m:r>
              <w:rPr>
                <w:rFonts w:ascii="Cambria Math" w:hAnsi="Cambria Math"/>
                <w:sz w:val="20"/>
                <w:szCs w:val="20"/>
                <w:lang w:val="en-US"/>
              </w:rPr>
              <m:t>Y</m:t>
            </m:r>
          </m:e>
        </m:d>
        <m:r>
          <w:rPr>
            <w:rFonts w:ascii="Cambria Math" w:hAnsi="Cambria Math"/>
            <w:sz w:val="20"/>
            <w:szCs w:val="20"/>
            <w:lang w:val="en-US"/>
          </w:rPr>
          <m:t>= β+</m:t>
        </m:r>
        <m:sSub>
          <m:sSubPr>
            <m:ctrlPr>
              <w:rPr>
                <w:rFonts w:ascii="Cambria Math" w:hAnsi="Cambria Math"/>
                <w:i/>
                <w:iCs/>
              </w:rPr>
            </m:ctrlPr>
          </m:sSubPr>
          <m:e>
            <m:r>
              <w:rPr>
                <w:rFonts w:ascii="Cambria Math" w:hAnsi="Cambria Math"/>
                <w:sz w:val="20"/>
                <w:szCs w:val="20"/>
                <w:lang w:val="en-US"/>
              </w:rPr>
              <m:t>β</m:t>
            </m:r>
          </m:e>
          <m:sub>
            <m:r>
              <w:rPr>
                <w:rFonts w:ascii="Cambria Math" w:hAnsi="Cambria Math"/>
                <w:sz w:val="20"/>
                <w:szCs w:val="20"/>
                <w:lang w:val="en-US"/>
              </w:rPr>
              <m:t>1</m:t>
            </m:r>
          </m:sub>
        </m:sSub>
        <m:sSub>
          <m:sSubPr>
            <m:ctrlPr>
              <w:rPr>
                <w:rFonts w:ascii="Cambria Math" w:hAnsi="Cambria Math"/>
                <w:i/>
                <w:iCs/>
              </w:rPr>
            </m:ctrlPr>
          </m:sSubPr>
          <m:e>
            <m:r>
              <w:rPr>
                <w:rFonts w:ascii="Cambria Math" w:hAnsi="Cambria Math"/>
                <w:sz w:val="20"/>
                <w:szCs w:val="20"/>
                <w:lang w:val="en-US"/>
              </w:rPr>
              <m:t>x</m:t>
            </m:r>
          </m:e>
          <m:sub>
            <m:r>
              <w:rPr>
                <w:rFonts w:ascii="Cambria Math" w:hAnsi="Cambria Math"/>
                <w:sz w:val="20"/>
                <w:szCs w:val="20"/>
                <w:lang w:val="en-US"/>
              </w:rPr>
              <m:t>1</m:t>
            </m:r>
          </m:sub>
        </m:sSub>
        <m:r>
          <w:rPr>
            <w:rFonts w:ascii="Cambria Math" w:hAnsi="Cambria Math"/>
            <w:sz w:val="20"/>
            <w:szCs w:val="20"/>
            <w:lang w:val="en-US"/>
          </w:rPr>
          <m:t>+</m:t>
        </m:r>
        <m:sSub>
          <m:sSubPr>
            <m:ctrlPr>
              <w:rPr>
                <w:rFonts w:ascii="Cambria Math" w:hAnsi="Cambria Math"/>
                <w:i/>
                <w:iCs/>
              </w:rPr>
            </m:ctrlPr>
          </m:sSubPr>
          <m:e>
            <m:r>
              <w:rPr>
                <w:rFonts w:ascii="Cambria Math" w:hAnsi="Cambria Math"/>
                <w:sz w:val="20"/>
                <w:szCs w:val="20"/>
                <w:lang w:val="en-US"/>
              </w:rPr>
              <m:t>β</m:t>
            </m:r>
          </m:e>
          <m:sub>
            <m:r>
              <w:rPr>
                <w:rFonts w:ascii="Cambria Math" w:hAnsi="Cambria Math"/>
                <w:sz w:val="20"/>
                <w:szCs w:val="20"/>
                <w:lang w:val="en-US"/>
              </w:rPr>
              <m:t>2</m:t>
            </m:r>
          </m:sub>
        </m:sSub>
        <m:sSub>
          <m:sSubPr>
            <m:ctrlPr>
              <w:rPr>
                <w:rFonts w:ascii="Cambria Math" w:hAnsi="Cambria Math"/>
                <w:i/>
                <w:iCs/>
              </w:rPr>
            </m:ctrlPr>
          </m:sSubPr>
          <m:e>
            <m:r>
              <w:rPr>
                <w:rFonts w:ascii="Cambria Math" w:hAnsi="Cambria Math"/>
                <w:sz w:val="20"/>
                <w:szCs w:val="20"/>
                <w:lang w:val="en-US"/>
              </w:rPr>
              <m:t>x</m:t>
            </m:r>
          </m:e>
          <m:sub>
            <m:r>
              <w:rPr>
                <w:rFonts w:ascii="Cambria Math" w:hAnsi="Cambria Math"/>
                <w:sz w:val="20"/>
                <w:szCs w:val="20"/>
                <w:lang w:val="en-US"/>
              </w:rPr>
              <m:t>2</m:t>
            </m:r>
          </m:sub>
        </m:sSub>
        <m:r>
          <w:rPr>
            <w:rFonts w:ascii="Cambria Math" w:hAnsi="Cambria Math"/>
            <w:sz w:val="20"/>
            <w:szCs w:val="20"/>
            <w:lang w:val="en-US"/>
          </w:rPr>
          <m:t>+</m:t>
        </m:r>
        <m:sSub>
          <m:sSubPr>
            <m:ctrlPr>
              <w:rPr>
                <w:rFonts w:ascii="Cambria Math" w:hAnsi="Cambria Math"/>
                <w:i/>
                <w:iCs/>
              </w:rPr>
            </m:ctrlPr>
          </m:sSubPr>
          <m:e>
            <m:r>
              <w:rPr>
                <w:rFonts w:ascii="Cambria Math" w:hAnsi="Cambria Math"/>
                <w:sz w:val="20"/>
                <w:szCs w:val="20"/>
                <w:lang w:val="en-US"/>
              </w:rPr>
              <m:t>β</m:t>
            </m:r>
          </m:e>
          <m:sub>
            <m:r>
              <w:rPr>
                <w:rFonts w:ascii="Cambria Math" w:hAnsi="Cambria Math"/>
                <w:sz w:val="20"/>
                <w:szCs w:val="20"/>
                <w:lang w:val="en-US"/>
              </w:rPr>
              <m:t>3</m:t>
            </m:r>
          </m:sub>
        </m:sSub>
        <m:sSub>
          <m:sSubPr>
            <m:ctrlPr>
              <w:rPr>
                <w:rFonts w:ascii="Cambria Math" w:hAnsi="Cambria Math"/>
                <w:i/>
                <w:iCs/>
              </w:rPr>
            </m:ctrlPr>
          </m:sSubPr>
          <m:e>
            <m:r>
              <w:rPr>
                <w:rFonts w:ascii="Cambria Math" w:hAnsi="Cambria Math"/>
                <w:sz w:val="20"/>
                <w:szCs w:val="20"/>
                <w:lang w:val="en-US"/>
              </w:rPr>
              <m:t>x</m:t>
            </m:r>
          </m:e>
          <m:sub>
            <m:r>
              <w:rPr>
                <w:rFonts w:ascii="Cambria Math" w:hAnsi="Cambria Math"/>
                <w:sz w:val="20"/>
                <w:szCs w:val="20"/>
                <w:lang w:val="en-US"/>
              </w:rPr>
              <m:t>3</m:t>
            </m:r>
          </m:sub>
        </m:sSub>
        <m:r>
          <w:rPr>
            <w:rFonts w:ascii="Cambria Math" w:hAnsi="Cambria Math"/>
            <w:sz w:val="20"/>
            <w:szCs w:val="20"/>
            <w:lang w:val="en-US"/>
          </w:rPr>
          <m:t>+∈</m:t>
        </m:r>
      </m:oMath>
      <w:r>
        <w:rPr>
          <w:rFonts w:ascii="Palatino Linotype" w:hAnsi="Palatino Linotype"/>
          <w:sz w:val="20"/>
          <w:szCs w:val="20"/>
          <w:lang w:val="en-US"/>
        </w:rPr>
        <w:t xml:space="preserve">, </w:t>
      </w:r>
    </w:p>
    <w:p w14:paraId="27B41DB0" w14:textId="77777777" w:rsidR="00991EA2" w:rsidRDefault="00991EA2" w:rsidP="00991EA2">
      <w:pPr>
        <w:snapToGrid w:val="0"/>
        <w:spacing w:after="240" w:line="260" w:lineRule="atLeast"/>
        <w:rPr>
          <w:rFonts w:ascii="Palatino Linotype" w:hAnsi="Palatino Linotype"/>
          <w:sz w:val="20"/>
          <w:szCs w:val="20"/>
          <w:lang w:val="en-US"/>
        </w:rPr>
      </w:pPr>
    </w:p>
    <w:p w14:paraId="50933061" w14:textId="77777777" w:rsidR="00991EA2" w:rsidRDefault="00991EA2" w:rsidP="00991EA2">
      <w:pPr>
        <w:snapToGrid w:val="0"/>
        <w:spacing w:after="240" w:line="260" w:lineRule="atLeast"/>
        <w:rPr>
          <w:rFonts w:ascii="Palatino Linotype" w:hAnsi="Palatino Linotype"/>
          <w:sz w:val="20"/>
          <w:szCs w:val="20"/>
          <w:lang w:val="en-US"/>
        </w:rPr>
      </w:pPr>
      <w:r>
        <w:rPr>
          <w:rFonts w:ascii="Palatino Linotype" w:hAnsi="Palatino Linotype"/>
          <w:sz w:val="20"/>
          <w:szCs w:val="20"/>
          <w:lang w:val="en-US"/>
        </w:rPr>
        <w:t xml:space="preserve">would have the parameter value </w:t>
      </w:r>
      <m:oMath>
        <m:r>
          <w:rPr>
            <w:rFonts w:ascii="Cambria Math" w:hAnsi="Cambria Math"/>
            <w:sz w:val="20"/>
            <w:szCs w:val="20"/>
            <w:lang w:val="en-US"/>
          </w:rPr>
          <m:t>p</m:t>
        </m:r>
      </m:oMath>
      <w:r>
        <w:rPr>
          <w:rFonts w:ascii="Palatino Linotype" w:hAnsi="Palatino Linotype"/>
          <w:sz w:val="20"/>
          <w:szCs w:val="20"/>
          <w:lang w:val="en-US"/>
        </w:rPr>
        <w:t xml:space="preserve"> = 5 (not forgetting the error parameter), </w:t>
      </w:r>
    </w:p>
    <w:p w14:paraId="2EBC5F7D" w14:textId="77777777" w:rsidR="00991EA2" w:rsidRDefault="00991EA2" w:rsidP="00991EA2">
      <w:pPr>
        <w:snapToGrid w:val="0"/>
        <w:spacing w:after="240" w:line="260" w:lineRule="atLeast"/>
        <w:rPr>
          <w:rFonts w:ascii="Palatino Linotype" w:hAnsi="Palatino Linotype"/>
          <w:sz w:val="20"/>
          <w:szCs w:val="20"/>
          <w:lang w:val="en-US"/>
        </w:rPr>
      </w:pPr>
      <w:proofErr w:type="gramStart"/>
      <w:r>
        <w:rPr>
          <w:rFonts w:ascii="Palatino Linotype" w:hAnsi="Palatino Linotype"/>
          <w:sz w:val="20"/>
          <w:szCs w:val="20"/>
          <w:lang w:val="en-US"/>
        </w:rPr>
        <w:t>therefore</w:t>
      </w:r>
      <w:proofErr w:type="gramEnd"/>
      <w:r>
        <w:rPr>
          <w:rFonts w:ascii="Palatino Linotype" w:hAnsi="Palatino Linotype"/>
          <w:sz w:val="20"/>
          <w:szCs w:val="20"/>
          <w:lang w:val="en-US"/>
        </w:rPr>
        <w:t xml:space="preserve"> the AIC will be </w:t>
      </w:r>
      <m:oMath>
        <m:r>
          <m:rPr>
            <m:sty m:val="p"/>
          </m:rPr>
          <w:rPr>
            <w:rFonts w:ascii="Cambria Math" w:hAnsi="Cambria Math"/>
            <w:sz w:val="20"/>
            <w:szCs w:val="20"/>
            <w:lang w:val="en-US"/>
          </w:rPr>
          <m:t xml:space="preserve">-2 </m:t>
        </m:r>
        <m:func>
          <m:funcPr>
            <m:ctrlPr>
              <w:rPr>
                <w:rFonts w:ascii="Cambria Math" w:hAnsi="Cambria Math"/>
              </w:rPr>
            </m:ctrlPr>
          </m:funcPr>
          <m:fName>
            <m:r>
              <m:rPr>
                <m:sty m:val="p"/>
              </m:rPr>
              <w:rPr>
                <w:rFonts w:ascii="Cambria Math" w:hAnsi="Cambria Math"/>
                <w:sz w:val="20"/>
                <w:szCs w:val="20"/>
                <w:lang w:val="en-US"/>
              </w:rPr>
              <m:t>log</m:t>
            </m:r>
          </m:fName>
          <m:e>
            <m:r>
              <w:rPr>
                <w:rFonts w:ascii="Cambria Math" w:hAnsi="Cambria Math"/>
                <w:sz w:val="20"/>
                <w:szCs w:val="20"/>
                <w:lang w:val="en-US"/>
              </w:rPr>
              <m:t>L</m:t>
            </m:r>
          </m:e>
        </m:func>
        <m:d>
          <m:dPr>
            <m:ctrlPr>
              <w:rPr>
                <w:rFonts w:ascii="Cambria Math" w:hAnsi="Cambria Math"/>
              </w:rPr>
            </m:ctrlPr>
          </m:dPr>
          <m:e>
            <m:r>
              <w:rPr>
                <w:rFonts w:ascii="Cambria Math" w:hAnsi="Cambria Math"/>
                <w:sz w:val="20"/>
                <w:szCs w:val="20"/>
                <w:lang w:val="en-US"/>
              </w:rPr>
              <m:t>θ</m:t>
            </m:r>
          </m:e>
        </m:d>
        <m:r>
          <m:rPr>
            <m:sty m:val="p"/>
          </m:rPr>
          <w:rPr>
            <w:rFonts w:ascii="Cambria Math" w:hAnsi="Cambria Math"/>
            <w:sz w:val="20"/>
            <w:szCs w:val="20"/>
            <w:lang w:val="en-US"/>
          </w:rPr>
          <m:t>+2</m:t>
        </m:r>
        <m:d>
          <m:dPr>
            <m:ctrlPr>
              <w:rPr>
                <w:rFonts w:ascii="Cambria Math" w:hAnsi="Cambria Math"/>
              </w:rPr>
            </m:ctrlPr>
          </m:dPr>
          <m:e>
            <m:r>
              <m:rPr>
                <m:sty m:val="p"/>
              </m:rPr>
              <w:rPr>
                <w:rFonts w:ascii="Cambria Math" w:hAnsi="Cambria Math"/>
                <w:sz w:val="20"/>
                <w:szCs w:val="20"/>
                <w:lang w:val="en-US"/>
              </w:rPr>
              <m:t>5</m:t>
            </m:r>
          </m:e>
        </m:d>
      </m:oMath>
      <w:r>
        <w:rPr>
          <w:rFonts w:ascii="Palatino Linotype" w:hAnsi="Palatino Linotype"/>
          <w:sz w:val="20"/>
          <w:szCs w:val="20"/>
          <w:lang w:val="en-US"/>
        </w:rPr>
        <w:t xml:space="preserve">. </w:t>
      </w:r>
    </w:p>
    <w:p w14:paraId="4B5819AE" w14:textId="77777777" w:rsidR="00991EA2" w:rsidRDefault="00991EA2" w:rsidP="00991EA2">
      <w:pPr>
        <w:snapToGrid w:val="0"/>
        <w:spacing w:after="240" w:line="260" w:lineRule="atLeast"/>
        <w:rPr>
          <w:rFonts w:ascii="Palatino Linotype" w:hAnsi="Palatino Linotype"/>
          <w:sz w:val="20"/>
          <w:szCs w:val="20"/>
          <w:lang w:val="en-US"/>
        </w:rPr>
      </w:pPr>
    </w:p>
    <w:p w14:paraId="30417A0F" w14:textId="0BA81C73" w:rsidR="00991EA2" w:rsidRDefault="00991EA2" w:rsidP="00991EA2">
      <w:pPr>
        <w:snapToGrid w:val="0"/>
        <w:spacing w:after="240" w:line="260" w:lineRule="atLeast"/>
        <w:rPr>
          <w:rFonts w:ascii="Palatino Linotype" w:hAnsi="Palatino Linotype"/>
          <w:sz w:val="20"/>
          <w:szCs w:val="20"/>
          <w:lang w:val="en-US"/>
        </w:rPr>
      </w:pPr>
      <w:r>
        <w:rPr>
          <w:rFonts w:ascii="Palatino Linotype" w:hAnsi="Palatino Linotype"/>
          <w:sz w:val="20"/>
          <w:szCs w:val="20"/>
          <w:lang w:val="en-US"/>
        </w:rPr>
        <w:t>For common distributions, the parameters are:</w:t>
      </w:r>
    </w:p>
    <w:p w14:paraId="5AF45841" w14:textId="77777777" w:rsidR="00991EA2" w:rsidRDefault="00991EA2" w:rsidP="00991EA2">
      <w:pPr>
        <w:pStyle w:val="MDPI31text"/>
        <w:numPr>
          <w:ilvl w:val="0"/>
          <w:numId w:val="1"/>
        </w:numPr>
        <w:rPr>
          <w:sz w:val="20"/>
          <w:szCs w:val="20"/>
        </w:rPr>
      </w:pPr>
      <w:r>
        <w:t>Normal,</w:t>
      </w:r>
      <m:oMath>
        <m:r>
          <w:rPr>
            <w:rFonts w:ascii="Cambria Math" w:hAnsi="Cambria Math"/>
          </w:rPr>
          <m:t>p=2</m:t>
        </m:r>
      </m:oMath>
      <w:r>
        <w:t xml:space="preserve"> (mean and variance),</w:t>
      </w:r>
    </w:p>
    <w:p w14:paraId="6AEAA867" w14:textId="77777777" w:rsidR="00991EA2" w:rsidRDefault="00991EA2" w:rsidP="00991EA2">
      <w:pPr>
        <w:pStyle w:val="MDPI31text"/>
        <w:numPr>
          <w:ilvl w:val="0"/>
          <w:numId w:val="1"/>
        </w:numPr>
      </w:pPr>
      <w:r>
        <w:t>Lognormal,</w:t>
      </w:r>
      <m:oMath>
        <m:r>
          <w:rPr>
            <w:rFonts w:ascii="Cambria Math" w:hAnsi="Cambria Math"/>
          </w:rPr>
          <m:t>p=3</m:t>
        </m:r>
      </m:oMath>
      <w:r>
        <w:t xml:space="preserve"> (shape parameter, scale parameter and a loc</w:t>
      </w:r>
      <w:proofErr w:type="spellStart"/>
      <w:r>
        <w:t>ation</w:t>
      </w:r>
      <w:proofErr w:type="spellEnd"/>
      <w:r>
        <w:t xml:space="preserve"> parameter),</w:t>
      </w:r>
    </w:p>
    <w:p w14:paraId="474B5BBF" w14:textId="77777777" w:rsidR="00991EA2" w:rsidRDefault="00991EA2" w:rsidP="00991EA2">
      <w:pPr>
        <w:pStyle w:val="MDPI31text"/>
        <w:numPr>
          <w:ilvl w:val="0"/>
          <w:numId w:val="1"/>
        </w:numPr>
        <w:rPr>
          <w:sz w:val="20"/>
          <w:szCs w:val="20"/>
        </w:rPr>
      </w:pPr>
      <w:r>
        <w:t>Gamma,</w:t>
      </w:r>
      <m:oMath>
        <m:r>
          <w:rPr>
            <w:rFonts w:ascii="Cambria Math" w:hAnsi="Cambria Math"/>
          </w:rPr>
          <m:t>p=2</m:t>
        </m:r>
      </m:oMath>
      <w:r>
        <w:t xml:space="preserve"> (shape parameter, inverse scale parameter),</w:t>
      </w:r>
    </w:p>
    <w:p w14:paraId="310B909E" w14:textId="77777777" w:rsidR="00991EA2" w:rsidRDefault="00991EA2" w:rsidP="00991EA2">
      <w:pPr>
        <w:pStyle w:val="MDPI31text"/>
        <w:numPr>
          <w:ilvl w:val="0"/>
          <w:numId w:val="1"/>
        </w:numPr>
      </w:pPr>
      <w:r>
        <w:t>Weibull,</w:t>
      </w:r>
      <m:oMath>
        <m:r>
          <w:rPr>
            <w:rFonts w:ascii="Cambria Math" w:hAnsi="Cambria Math"/>
          </w:rPr>
          <m:t>p=3</m:t>
        </m:r>
      </m:oMath>
      <w:r>
        <w:t xml:space="preserve"> (shape parameter, scale parameter and a location parameter), and</w:t>
      </w:r>
    </w:p>
    <w:p w14:paraId="23B7DC42" w14:textId="77777777" w:rsidR="00991EA2" w:rsidRDefault="00991EA2" w:rsidP="00991EA2">
      <w:pPr>
        <w:pStyle w:val="MDPI31text"/>
        <w:numPr>
          <w:ilvl w:val="0"/>
          <w:numId w:val="1"/>
        </w:numPr>
        <w:spacing w:after="240"/>
      </w:pPr>
      <w:r>
        <w:t>Uniform,</w:t>
      </w:r>
      <m:oMath>
        <m:r>
          <w:rPr>
            <w:rFonts w:ascii="Cambria Math" w:hAnsi="Cambria Math"/>
          </w:rPr>
          <m:t>p=2</m:t>
        </m:r>
      </m:oMath>
      <w:r>
        <w:t xml:space="preserve"> (Minimum, maximum)</w:t>
      </w:r>
    </w:p>
    <w:p w14:paraId="5F89A82A" w14:textId="29E1B71D" w:rsidR="00991EA2" w:rsidRPr="00991EA2" w:rsidRDefault="00991EA2" w:rsidP="00991EA2">
      <w:pPr>
        <w:rPr>
          <w:b/>
          <w:bCs/>
          <w:lang w:val="en-US"/>
        </w:rPr>
      </w:pPr>
      <w:r w:rsidRPr="00991EA2">
        <w:rPr>
          <w:b/>
          <w:bCs/>
          <w:lang w:val="en-US"/>
        </w:rPr>
        <w:t xml:space="preserve">Instances in comparison of the AIC where the </w:t>
      </w:r>
      <m:oMath>
        <m:r>
          <m:rPr>
            <m:sty m:val="bi"/>
          </m:rPr>
          <w:rPr>
            <w:rFonts w:ascii="Cambria Math" w:hAnsi="Cambria Math"/>
            <w:lang w:val="en-US"/>
          </w:rPr>
          <m:t>p</m:t>
        </m:r>
      </m:oMath>
      <w:r w:rsidRPr="00991EA2">
        <w:rPr>
          <w:b/>
          <w:bCs/>
          <w:lang w:val="en-US"/>
        </w:rPr>
        <w:t xml:space="preserve"> values are similar, it wi</w:t>
      </w:r>
      <w:proofErr w:type="spellStart"/>
      <w:r w:rsidRPr="00991EA2">
        <w:rPr>
          <w:b/>
          <w:bCs/>
          <w:lang w:val="en-US"/>
        </w:rPr>
        <w:t>ll</w:t>
      </w:r>
      <w:proofErr w:type="spellEnd"/>
      <w:r w:rsidRPr="00991EA2">
        <w:rPr>
          <w:b/>
          <w:bCs/>
          <w:lang w:val="en-US"/>
        </w:rPr>
        <w:t xml:space="preserve"> be the </w:t>
      </w:r>
      <m:oMath>
        <m:r>
          <m:rPr>
            <m:sty m:val="bi"/>
          </m:rPr>
          <w:rPr>
            <w:rFonts w:ascii="Cambria Math" w:hAnsi="Cambria Math"/>
            <w:lang w:val="en-US"/>
          </w:rPr>
          <m:t>-2</m:t>
        </m:r>
        <m:func>
          <m:funcPr>
            <m:ctrlPr>
              <w:rPr>
                <w:rFonts w:ascii="Cambria Math" w:hAnsi="Cambria Math"/>
                <w:b/>
                <w:bCs/>
                <w:i/>
                <w:iCs/>
                <w:sz w:val="22"/>
                <w:szCs w:val="22"/>
              </w:rPr>
            </m:ctrlPr>
          </m:funcPr>
          <m:fName>
            <m:r>
              <m:rPr>
                <m:sty m:val="b"/>
              </m:rPr>
              <w:rPr>
                <w:rFonts w:ascii="Cambria Math" w:hAnsi="Cambria Math"/>
                <w:lang w:val="en-US"/>
              </w:rPr>
              <m:t>log</m:t>
            </m:r>
          </m:fName>
          <m:e>
            <m:r>
              <m:rPr>
                <m:sty m:val="bi"/>
              </m:rPr>
              <w:rPr>
                <w:rFonts w:ascii="Cambria Math" w:hAnsi="Cambria Math"/>
                <w:lang w:val="en-US"/>
              </w:rPr>
              <m:t>L</m:t>
            </m:r>
            <m:d>
              <m:dPr>
                <m:ctrlPr>
                  <w:rPr>
                    <w:rFonts w:ascii="Cambria Math" w:hAnsi="Cambria Math"/>
                    <w:b/>
                    <w:bCs/>
                    <w:i/>
                    <w:iCs/>
                    <w:sz w:val="22"/>
                    <w:szCs w:val="22"/>
                  </w:rPr>
                </m:ctrlPr>
              </m:dPr>
              <m:e>
                <m:r>
                  <m:rPr>
                    <m:sty m:val="bi"/>
                  </m:rPr>
                  <w:rPr>
                    <w:rFonts w:ascii="Cambria Math" w:hAnsi="Cambria Math"/>
                    <w:lang w:val="en-US"/>
                  </w:rPr>
                  <m:t>θ</m:t>
                </m:r>
              </m:e>
            </m:d>
          </m:e>
        </m:func>
      </m:oMath>
      <w:r w:rsidRPr="00991EA2">
        <w:rPr>
          <w:b/>
          <w:bCs/>
          <w:lang w:val="en-US"/>
        </w:rPr>
        <w:t xml:space="preserve"> value, plus a constant, therefore the AIC will be “shifted” version of the loglikelihood value. It will not make any difference if the log likelihood value or the AIC value </w:t>
      </w:r>
      <w:proofErr w:type="gramStart"/>
      <w:r w:rsidRPr="00991EA2">
        <w:rPr>
          <w:b/>
          <w:bCs/>
          <w:lang w:val="en-US"/>
        </w:rPr>
        <w:t>is used</w:t>
      </w:r>
      <w:proofErr w:type="gramEnd"/>
    </w:p>
    <w:p w14:paraId="3F054B71" w14:textId="77777777" w:rsidR="00991EA2" w:rsidRDefault="00991EA2" w:rsidP="00991EA2">
      <w:pPr>
        <w:rPr>
          <w:lang w:val="en-US"/>
        </w:rPr>
      </w:pPr>
    </w:p>
    <w:p w14:paraId="492C1560" w14:textId="77777777" w:rsidR="00991EA2" w:rsidRDefault="00991EA2" w:rsidP="00991EA2">
      <w:pPr>
        <w:pStyle w:val="MDPI31text"/>
        <w:ind w:firstLine="0"/>
        <w:jc w:val="center"/>
        <w:rPr>
          <w:b/>
          <w:bCs/>
          <w:spacing w:val="-2"/>
          <w:lang w:val="en-US"/>
        </w:rPr>
      </w:pPr>
      <w:bookmarkStart w:id="0" w:name="_Hlk54188817"/>
      <w:r>
        <w:rPr>
          <w:b/>
          <w:bCs/>
          <w:spacing w:val="-2"/>
        </w:rPr>
        <w:t>Results for the Probability Integral Transformation</w:t>
      </w:r>
    </w:p>
    <w:tbl>
      <w:tblPr>
        <w:tblW w:w="0" w:type="auto"/>
        <w:jc w:val="center"/>
        <w:tblCellMar>
          <w:left w:w="0" w:type="dxa"/>
          <w:right w:w="0" w:type="dxa"/>
        </w:tblCellMar>
        <w:tblLook w:val="04A0" w:firstRow="1" w:lastRow="0" w:firstColumn="1" w:lastColumn="0" w:noHBand="0" w:noVBand="1"/>
      </w:tblPr>
      <w:tblGrid>
        <w:gridCol w:w="2547"/>
        <w:gridCol w:w="1518"/>
        <w:gridCol w:w="1518"/>
        <w:gridCol w:w="1519"/>
        <w:gridCol w:w="548"/>
      </w:tblGrid>
      <w:tr w:rsidR="00991EA2" w14:paraId="6B942950" w14:textId="77777777" w:rsidTr="00991EA2">
        <w:trPr>
          <w:jc w:val="center"/>
        </w:trPr>
        <w:tc>
          <w:tcPr>
            <w:tcW w:w="2547" w:type="dxa"/>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tcPr>
          <w:p w14:paraId="3B3CF039" w14:textId="77777777" w:rsidR="00991EA2" w:rsidRDefault="00991EA2">
            <w:pPr>
              <w:spacing w:line="240" w:lineRule="auto"/>
              <w:rPr>
                <w:rFonts w:ascii="Palatino Linotype" w:hAnsi="Palatino Linotype"/>
                <w:sz w:val="20"/>
                <w:szCs w:val="20"/>
                <w:lang w:val="en-US"/>
              </w:rPr>
            </w:pPr>
            <w:bookmarkStart w:id="1" w:name="_Hlk47442890"/>
          </w:p>
        </w:tc>
        <w:tc>
          <w:tcPr>
            <w:tcW w:w="1518"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hideMark/>
          </w:tcPr>
          <w:p w14:paraId="2BD88736"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Loglikelihood</w:t>
            </w:r>
          </w:p>
        </w:tc>
        <w:tc>
          <w:tcPr>
            <w:tcW w:w="1518"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hideMark/>
          </w:tcPr>
          <w:p w14:paraId="2CC7E78D"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AIC</w:t>
            </w:r>
          </w:p>
        </w:tc>
        <w:tc>
          <w:tcPr>
            <w:tcW w:w="1519"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hideMark/>
          </w:tcPr>
          <w:p w14:paraId="0C0AEA43"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BIC</w:t>
            </w:r>
          </w:p>
        </w:tc>
        <w:tc>
          <w:tcPr>
            <w:tcW w:w="548" w:type="dxa"/>
            <w:tcBorders>
              <w:top w:val="single" w:sz="8" w:space="0" w:color="auto"/>
              <w:left w:val="nil"/>
              <w:bottom w:val="single" w:sz="8" w:space="0" w:color="auto"/>
              <w:right w:val="single" w:sz="8" w:space="0" w:color="auto"/>
            </w:tcBorders>
            <w:shd w:val="clear" w:color="auto" w:fill="E7E6E6"/>
            <w:tcMar>
              <w:top w:w="0" w:type="dxa"/>
              <w:left w:w="108" w:type="dxa"/>
              <w:bottom w:w="0" w:type="dxa"/>
              <w:right w:w="108" w:type="dxa"/>
            </w:tcMar>
            <w:hideMark/>
          </w:tcPr>
          <w:p w14:paraId="19C9BE3F" w14:textId="77777777" w:rsidR="00991EA2" w:rsidRDefault="00991EA2">
            <w:pPr>
              <w:spacing w:line="240" w:lineRule="auto"/>
              <w:jc w:val="center"/>
              <w:rPr>
                <w:rFonts w:ascii="Palatino Linotype" w:hAnsi="Palatino Linotype"/>
                <w:sz w:val="20"/>
                <w:szCs w:val="20"/>
              </w:rPr>
            </w:pPr>
            <m:oMathPara>
              <m:oMath>
                <m:r>
                  <w:rPr>
                    <w:rFonts w:ascii="Cambria Math" w:hAnsi="Cambria Math"/>
                    <w:sz w:val="20"/>
                    <w:szCs w:val="20"/>
                  </w:rPr>
                  <m:t>p</m:t>
                </m:r>
              </m:oMath>
            </m:oMathPara>
          </w:p>
        </w:tc>
      </w:tr>
      <w:tr w:rsidR="00991EA2" w14:paraId="72E5392A" w14:textId="77777777" w:rsidTr="00991EA2">
        <w:trPr>
          <w:jc w:val="center"/>
        </w:trPr>
        <w:tc>
          <w:tcPr>
            <w:tcW w:w="25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01C545" w14:textId="77777777" w:rsidR="00991EA2" w:rsidRDefault="00991EA2">
            <w:pPr>
              <w:spacing w:line="240" w:lineRule="auto"/>
              <w:rPr>
                <w:rFonts w:ascii="Palatino Linotype" w:hAnsi="Palatino Linotype"/>
                <w:sz w:val="20"/>
                <w:szCs w:val="20"/>
                <w:lang w:val="en-US"/>
              </w:rPr>
            </w:pPr>
            <w:r>
              <w:rPr>
                <w:rFonts w:ascii="Palatino Linotype" w:hAnsi="Palatino Linotype"/>
                <w:sz w:val="20"/>
                <w:szCs w:val="20"/>
                <w:lang w:val="en-US"/>
              </w:rPr>
              <w:t>Ozone Weibull</w:t>
            </w:r>
          </w:p>
        </w:tc>
        <w:tc>
          <w:tcPr>
            <w:tcW w:w="1518" w:type="dxa"/>
            <w:tcBorders>
              <w:top w:val="nil"/>
              <w:left w:val="nil"/>
              <w:bottom w:val="single" w:sz="8" w:space="0" w:color="auto"/>
              <w:right w:val="single" w:sz="8" w:space="0" w:color="auto"/>
            </w:tcBorders>
            <w:tcMar>
              <w:top w:w="0" w:type="dxa"/>
              <w:left w:w="108" w:type="dxa"/>
              <w:bottom w:w="0" w:type="dxa"/>
              <w:right w:w="108" w:type="dxa"/>
            </w:tcMar>
            <w:hideMark/>
          </w:tcPr>
          <w:p w14:paraId="14F9AE6D"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-1.754031</w:t>
            </w:r>
          </w:p>
        </w:tc>
        <w:tc>
          <w:tcPr>
            <w:tcW w:w="1518" w:type="dxa"/>
            <w:tcBorders>
              <w:top w:val="nil"/>
              <w:left w:val="nil"/>
              <w:bottom w:val="single" w:sz="8" w:space="0" w:color="auto"/>
              <w:right w:val="single" w:sz="8" w:space="0" w:color="auto"/>
            </w:tcBorders>
            <w:tcMar>
              <w:top w:w="0" w:type="dxa"/>
              <w:left w:w="108" w:type="dxa"/>
              <w:bottom w:w="0" w:type="dxa"/>
              <w:right w:w="108" w:type="dxa"/>
            </w:tcMar>
            <w:hideMark/>
          </w:tcPr>
          <w:p w14:paraId="49A55494"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7.508062</w:t>
            </w:r>
          </w:p>
        </w:tc>
        <w:tc>
          <w:tcPr>
            <w:tcW w:w="1519" w:type="dxa"/>
            <w:tcBorders>
              <w:top w:val="nil"/>
              <w:left w:val="nil"/>
              <w:bottom w:val="single" w:sz="8" w:space="0" w:color="auto"/>
              <w:right w:val="single" w:sz="8" w:space="0" w:color="auto"/>
            </w:tcBorders>
            <w:tcMar>
              <w:top w:w="0" w:type="dxa"/>
              <w:left w:w="108" w:type="dxa"/>
              <w:bottom w:w="0" w:type="dxa"/>
              <w:right w:w="108" w:type="dxa"/>
            </w:tcMar>
            <w:hideMark/>
          </w:tcPr>
          <w:p w14:paraId="66AA8875"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12.92712</w:t>
            </w:r>
          </w:p>
        </w:tc>
        <w:tc>
          <w:tcPr>
            <w:tcW w:w="548" w:type="dxa"/>
            <w:tcBorders>
              <w:top w:val="nil"/>
              <w:left w:val="nil"/>
              <w:bottom w:val="single" w:sz="8" w:space="0" w:color="auto"/>
              <w:right w:val="single" w:sz="8" w:space="0" w:color="auto"/>
            </w:tcBorders>
            <w:tcMar>
              <w:top w:w="0" w:type="dxa"/>
              <w:left w:w="108" w:type="dxa"/>
              <w:bottom w:w="0" w:type="dxa"/>
              <w:right w:w="108" w:type="dxa"/>
            </w:tcMar>
            <w:hideMark/>
          </w:tcPr>
          <w:p w14:paraId="3741D06A" w14:textId="77777777" w:rsidR="00991EA2" w:rsidRDefault="00991EA2">
            <w:pPr>
              <w:spacing w:line="240" w:lineRule="auto"/>
              <w:jc w:val="center"/>
              <w:rPr>
                <w:rFonts w:ascii="Palatino Linotype" w:hAnsi="Palatino Linotype"/>
                <w:sz w:val="20"/>
                <w:szCs w:val="20"/>
              </w:rPr>
            </w:pPr>
            <w:r>
              <w:rPr>
                <w:rFonts w:ascii="Palatino Linotype" w:hAnsi="Palatino Linotype"/>
                <w:sz w:val="20"/>
                <w:szCs w:val="20"/>
              </w:rPr>
              <w:t>2</w:t>
            </w:r>
          </w:p>
        </w:tc>
      </w:tr>
      <w:tr w:rsidR="00991EA2" w14:paraId="40FE5422" w14:textId="77777777" w:rsidTr="00991EA2">
        <w:trPr>
          <w:jc w:val="center"/>
        </w:trPr>
        <w:tc>
          <w:tcPr>
            <w:tcW w:w="25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CEE51C" w14:textId="77777777" w:rsidR="00991EA2" w:rsidRDefault="00991EA2">
            <w:pPr>
              <w:spacing w:line="240" w:lineRule="auto"/>
              <w:rPr>
                <w:rFonts w:ascii="Palatino Linotype" w:hAnsi="Palatino Linotype"/>
                <w:sz w:val="20"/>
                <w:szCs w:val="20"/>
                <w:lang w:val="en-US"/>
              </w:rPr>
            </w:pPr>
            <w:r>
              <w:rPr>
                <w:rFonts w:ascii="Palatino Linotype" w:hAnsi="Palatino Linotype"/>
                <w:sz w:val="20"/>
                <w:szCs w:val="20"/>
                <w:lang w:val="en-US"/>
              </w:rPr>
              <w:t>Ozone Gamma</w:t>
            </w:r>
          </w:p>
        </w:tc>
        <w:tc>
          <w:tcPr>
            <w:tcW w:w="1518" w:type="dxa"/>
            <w:tcBorders>
              <w:top w:val="nil"/>
              <w:left w:val="nil"/>
              <w:bottom w:val="single" w:sz="8" w:space="0" w:color="auto"/>
              <w:right w:val="single" w:sz="8" w:space="0" w:color="auto"/>
            </w:tcBorders>
            <w:tcMar>
              <w:top w:w="0" w:type="dxa"/>
              <w:left w:w="108" w:type="dxa"/>
              <w:bottom w:w="0" w:type="dxa"/>
              <w:right w:w="108" w:type="dxa"/>
            </w:tcMar>
            <w:hideMark/>
          </w:tcPr>
          <w:p w14:paraId="42384FE5"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-3.736771</w:t>
            </w:r>
          </w:p>
        </w:tc>
        <w:tc>
          <w:tcPr>
            <w:tcW w:w="1518" w:type="dxa"/>
            <w:tcBorders>
              <w:top w:val="nil"/>
              <w:left w:val="nil"/>
              <w:bottom w:val="single" w:sz="8" w:space="0" w:color="auto"/>
              <w:right w:val="single" w:sz="8" w:space="0" w:color="auto"/>
            </w:tcBorders>
            <w:tcMar>
              <w:top w:w="0" w:type="dxa"/>
              <w:left w:w="108" w:type="dxa"/>
              <w:bottom w:w="0" w:type="dxa"/>
              <w:right w:w="108" w:type="dxa"/>
            </w:tcMar>
            <w:hideMark/>
          </w:tcPr>
          <w:p w14:paraId="055DCD2D"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11.47354</w:t>
            </w:r>
          </w:p>
        </w:tc>
        <w:tc>
          <w:tcPr>
            <w:tcW w:w="1519" w:type="dxa"/>
            <w:tcBorders>
              <w:top w:val="nil"/>
              <w:left w:val="nil"/>
              <w:bottom w:val="single" w:sz="8" w:space="0" w:color="auto"/>
              <w:right w:val="single" w:sz="8" w:space="0" w:color="auto"/>
            </w:tcBorders>
            <w:tcMar>
              <w:top w:w="0" w:type="dxa"/>
              <w:left w:w="108" w:type="dxa"/>
              <w:bottom w:w="0" w:type="dxa"/>
              <w:right w:w="108" w:type="dxa"/>
            </w:tcMar>
            <w:hideMark/>
          </w:tcPr>
          <w:p w14:paraId="7A94E7AC"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16.8926</w:t>
            </w:r>
          </w:p>
        </w:tc>
        <w:tc>
          <w:tcPr>
            <w:tcW w:w="548" w:type="dxa"/>
            <w:tcBorders>
              <w:top w:val="nil"/>
              <w:left w:val="nil"/>
              <w:bottom w:val="single" w:sz="8" w:space="0" w:color="auto"/>
              <w:right w:val="single" w:sz="8" w:space="0" w:color="auto"/>
            </w:tcBorders>
            <w:tcMar>
              <w:top w:w="0" w:type="dxa"/>
              <w:left w:w="108" w:type="dxa"/>
              <w:bottom w:w="0" w:type="dxa"/>
              <w:right w:w="108" w:type="dxa"/>
            </w:tcMar>
            <w:hideMark/>
          </w:tcPr>
          <w:p w14:paraId="3D88B7C2" w14:textId="77777777" w:rsidR="00991EA2" w:rsidRDefault="00991EA2">
            <w:pPr>
              <w:spacing w:line="240" w:lineRule="auto"/>
              <w:jc w:val="center"/>
              <w:rPr>
                <w:rFonts w:ascii="Palatino Linotype" w:hAnsi="Palatino Linotype"/>
                <w:sz w:val="20"/>
                <w:szCs w:val="20"/>
              </w:rPr>
            </w:pPr>
            <w:r>
              <w:rPr>
                <w:rFonts w:ascii="Palatino Linotype" w:hAnsi="Palatino Linotype"/>
                <w:sz w:val="20"/>
                <w:szCs w:val="20"/>
              </w:rPr>
              <w:t>2</w:t>
            </w:r>
          </w:p>
        </w:tc>
      </w:tr>
      <w:tr w:rsidR="00991EA2" w14:paraId="603E2ED2" w14:textId="77777777" w:rsidTr="00991EA2">
        <w:trPr>
          <w:jc w:val="center"/>
        </w:trPr>
        <w:tc>
          <w:tcPr>
            <w:tcW w:w="2547"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77EE8134" w14:textId="77777777" w:rsidR="00991EA2" w:rsidRDefault="00991EA2">
            <w:pPr>
              <w:spacing w:line="240" w:lineRule="auto"/>
              <w:rPr>
                <w:rFonts w:ascii="Palatino Linotype" w:hAnsi="Palatino Linotype"/>
                <w:sz w:val="20"/>
                <w:szCs w:val="20"/>
                <w:lang w:val="en-US"/>
              </w:rPr>
            </w:pPr>
            <w:r>
              <w:rPr>
                <w:rFonts w:ascii="Palatino Linotype" w:hAnsi="Palatino Linotype"/>
                <w:sz w:val="20"/>
                <w:szCs w:val="20"/>
                <w:lang w:val="en-US"/>
              </w:rPr>
              <w:t>Temperature Weibull</w:t>
            </w:r>
          </w:p>
        </w:tc>
        <w:tc>
          <w:tcPr>
            <w:tcW w:w="151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13DF9477"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-3.132208</w:t>
            </w:r>
          </w:p>
        </w:tc>
        <w:tc>
          <w:tcPr>
            <w:tcW w:w="151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034F545A"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10.26442</w:t>
            </w:r>
          </w:p>
        </w:tc>
        <w:tc>
          <w:tcPr>
            <w:tcW w:w="1519"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1563C03D"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15.68348</w:t>
            </w:r>
          </w:p>
        </w:tc>
        <w:tc>
          <w:tcPr>
            <w:tcW w:w="54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2ED298D7" w14:textId="77777777" w:rsidR="00991EA2" w:rsidRDefault="00991EA2">
            <w:pPr>
              <w:spacing w:line="240" w:lineRule="auto"/>
              <w:jc w:val="center"/>
              <w:rPr>
                <w:rFonts w:ascii="Palatino Linotype" w:hAnsi="Palatino Linotype"/>
                <w:sz w:val="20"/>
                <w:szCs w:val="20"/>
              </w:rPr>
            </w:pPr>
            <w:r>
              <w:rPr>
                <w:rFonts w:ascii="Palatino Linotype" w:hAnsi="Palatino Linotype"/>
                <w:sz w:val="20"/>
                <w:szCs w:val="20"/>
              </w:rPr>
              <w:t>2</w:t>
            </w:r>
          </w:p>
        </w:tc>
      </w:tr>
      <w:tr w:rsidR="00991EA2" w14:paraId="655F3FF7" w14:textId="77777777" w:rsidTr="00991EA2">
        <w:trPr>
          <w:jc w:val="center"/>
        </w:trPr>
        <w:tc>
          <w:tcPr>
            <w:tcW w:w="2547"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hideMark/>
          </w:tcPr>
          <w:p w14:paraId="4C970967" w14:textId="77777777" w:rsidR="00991EA2" w:rsidRDefault="00991EA2">
            <w:pPr>
              <w:spacing w:line="240" w:lineRule="auto"/>
              <w:rPr>
                <w:rFonts w:ascii="Palatino Linotype" w:hAnsi="Palatino Linotype"/>
                <w:sz w:val="20"/>
                <w:szCs w:val="20"/>
                <w:lang w:val="en-US"/>
              </w:rPr>
            </w:pPr>
            <w:r>
              <w:rPr>
                <w:rFonts w:ascii="Palatino Linotype" w:hAnsi="Palatino Linotype"/>
                <w:sz w:val="20"/>
                <w:szCs w:val="20"/>
                <w:lang w:val="en-US"/>
              </w:rPr>
              <w:t>Temperature Normal</w:t>
            </w:r>
          </w:p>
        </w:tc>
        <w:tc>
          <w:tcPr>
            <w:tcW w:w="151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59508976"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-3.889558</w:t>
            </w:r>
          </w:p>
        </w:tc>
        <w:tc>
          <w:tcPr>
            <w:tcW w:w="151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01B653EE"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11.77912</w:t>
            </w:r>
          </w:p>
        </w:tc>
        <w:tc>
          <w:tcPr>
            <w:tcW w:w="1519"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4ABE7FB1" w14:textId="77777777" w:rsidR="00991EA2" w:rsidRDefault="00991EA2">
            <w:pPr>
              <w:spacing w:line="240" w:lineRule="auto"/>
              <w:jc w:val="center"/>
              <w:rPr>
                <w:rFonts w:ascii="Palatino Linotype" w:hAnsi="Palatino Linotype"/>
                <w:sz w:val="20"/>
                <w:szCs w:val="20"/>
                <w:lang w:val="en-US"/>
              </w:rPr>
            </w:pPr>
            <w:r>
              <w:rPr>
                <w:rFonts w:ascii="Palatino Linotype" w:hAnsi="Palatino Linotype"/>
                <w:sz w:val="20"/>
                <w:szCs w:val="20"/>
                <w:lang w:val="en-US"/>
              </w:rPr>
              <w:t>17.19818</w:t>
            </w:r>
          </w:p>
        </w:tc>
        <w:tc>
          <w:tcPr>
            <w:tcW w:w="548" w:type="dxa"/>
            <w:tcBorders>
              <w:top w:val="nil"/>
              <w:left w:val="nil"/>
              <w:bottom w:val="single" w:sz="8" w:space="0" w:color="auto"/>
              <w:right w:val="single" w:sz="8" w:space="0" w:color="auto"/>
            </w:tcBorders>
            <w:shd w:val="clear" w:color="auto" w:fill="F2F2F2"/>
            <w:tcMar>
              <w:top w:w="0" w:type="dxa"/>
              <w:left w:w="108" w:type="dxa"/>
              <w:bottom w:w="0" w:type="dxa"/>
              <w:right w:w="108" w:type="dxa"/>
            </w:tcMar>
            <w:hideMark/>
          </w:tcPr>
          <w:p w14:paraId="093585EB" w14:textId="77777777" w:rsidR="00991EA2" w:rsidRDefault="00991EA2">
            <w:pPr>
              <w:spacing w:line="240" w:lineRule="auto"/>
              <w:jc w:val="center"/>
              <w:rPr>
                <w:rFonts w:ascii="Palatino Linotype" w:hAnsi="Palatino Linotype"/>
                <w:sz w:val="20"/>
                <w:szCs w:val="20"/>
              </w:rPr>
            </w:pPr>
            <w:r>
              <w:rPr>
                <w:rFonts w:ascii="Palatino Linotype" w:hAnsi="Palatino Linotype"/>
                <w:sz w:val="20"/>
                <w:szCs w:val="20"/>
              </w:rPr>
              <w:t>2</w:t>
            </w:r>
          </w:p>
        </w:tc>
      </w:tr>
      <w:bookmarkEnd w:id="0"/>
      <w:bookmarkEnd w:id="1"/>
    </w:tbl>
    <w:p w14:paraId="1225DE65" w14:textId="77777777" w:rsidR="00991EA2" w:rsidRDefault="00991EA2" w:rsidP="00991EA2">
      <w:pPr>
        <w:pStyle w:val="MDPI31text"/>
        <w:spacing w:after="240"/>
        <w:ind w:firstLine="0"/>
        <w:rPr>
          <w:rFonts w:cs="Calibri"/>
          <w:spacing w:val="-2"/>
          <w:sz w:val="20"/>
          <w:szCs w:val="20"/>
          <w:lang w:val="en-US"/>
        </w:rPr>
      </w:pPr>
    </w:p>
    <w:p w14:paraId="51D17F3D" w14:textId="77777777" w:rsidR="00991EA2" w:rsidRDefault="00991EA2" w:rsidP="00991EA2">
      <w:pPr>
        <w:pStyle w:val="MDPI31text"/>
        <w:spacing w:after="240"/>
        <w:ind w:firstLine="0"/>
        <w:rPr>
          <w:rFonts w:eastAsia="Times New Roman" w:cs="Times New Roman"/>
          <w:spacing w:val="-2"/>
        </w:rPr>
      </w:pPr>
      <w:r>
        <w:rPr>
          <w:spacing w:val="-2"/>
        </w:rPr>
        <w:t xml:space="preserve">With </w:t>
      </w:r>
      <m:oMath>
        <m:r>
          <w:rPr>
            <w:rFonts w:ascii="Cambria Math" w:hAnsi="Cambria Math"/>
            <w:spacing w:val="-2"/>
          </w:rPr>
          <m:t>AIC</m:t>
        </m:r>
        <m:r>
          <m:rPr>
            <m:sty m:val="p"/>
          </m:rPr>
          <w:rPr>
            <w:rFonts w:ascii="Cambria Math" w:hAnsi="Cambria Math"/>
            <w:spacing w:val="-2"/>
          </w:rPr>
          <m:t xml:space="preserve">=-2 </m:t>
        </m:r>
        <m:func>
          <m:funcPr>
            <m:ctrlPr>
              <w:rPr>
                <w:rFonts w:ascii="Cambria Math" w:hAnsi="Cambria Math" w:cs="Calibri"/>
                <w:spacing w:val="-2"/>
              </w:rPr>
            </m:ctrlPr>
          </m:funcPr>
          <m:fName>
            <m:r>
              <m:rPr>
                <m:sty m:val="p"/>
              </m:rPr>
              <w:rPr>
                <w:rFonts w:ascii="Cambria Math" w:hAnsi="Cambria Math"/>
                <w:spacing w:val="-2"/>
              </w:rPr>
              <m:t>log</m:t>
            </m:r>
          </m:fName>
          <m:e>
            <m:r>
              <w:rPr>
                <w:rFonts w:ascii="Cambria Math" w:hAnsi="Cambria Math"/>
                <w:spacing w:val="-2"/>
              </w:rPr>
              <m:t>L</m:t>
            </m:r>
          </m:e>
        </m:func>
        <m:d>
          <m:dPr>
            <m:ctrlPr>
              <w:rPr>
                <w:rFonts w:ascii="Cambria Math" w:hAnsi="Cambria Math" w:cs="Calibri"/>
                <w:spacing w:val="-2"/>
              </w:rPr>
            </m:ctrlPr>
          </m:dPr>
          <m:e>
            <m:r>
              <w:rPr>
                <w:rFonts w:ascii="Cambria Math" w:hAnsi="Cambria Math"/>
                <w:spacing w:val="-2"/>
              </w:rPr>
              <m:t>θ</m:t>
            </m:r>
          </m:e>
        </m:d>
        <m:r>
          <m:rPr>
            <m:sty m:val="p"/>
          </m:rPr>
          <w:rPr>
            <w:rFonts w:ascii="Cambria Math" w:hAnsi="Cambria Math"/>
            <w:spacing w:val="-2"/>
          </w:rPr>
          <m:t>+2</m:t>
        </m:r>
        <m:d>
          <m:dPr>
            <m:ctrlPr>
              <w:rPr>
                <w:rFonts w:ascii="Cambria Math" w:hAnsi="Cambria Math" w:cs="Calibri"/>
                <w:spacing w:val="-2"/>
              </w:rPr>
            </m:ctrlPr>
          </m:dPr>
          <m:e>
            <m:r>
              <w:rPr>
                <w:rFonts w:ascii="Cambria Math" w:hAnsi="Cambria Math"/>
                <w:spacing w:val="-2"/>
              </w:rPr>
              <m:t>p</m:t>
            </m:r>
          </m:e>
        </m:d>
      </m:oMath>
      <w:r>
        <w:rPr>
          <w:spacing w:val="-2"/>
        </w:rPr>
        <w:t xml:space="preserve">, the calculations for AIC will be </w:t>
      </w:r>
      <m:oMath>
        <m:r>
          <w:rPr>
            <w:rFonts w:ascii="Cambria Math" w:hAnsi="Cambria Math"/>
            <w:spacing w:val="-2"/>
          </w:rPr>
          <m:t>-2</m:t>
        </m:r>
        <m:r>
          <m:rPr>
            <m:sty m:val="p"/>
          </m:rPr>
          <w:rPr>
            <w:rFonts w:ascii="Cambria Math" w:hAnsi="Cambria Math"/>
            <w:spacing w:val="-2"/>
          </w:rPr>
          <m:t xml:space="preserve"> Loglikelihood</m:t>
        </m:r>
        <m:r>
          <w:rPr>
            <w:rFonts w:ascii="Cambria Math" w:hAnsi="Cambria Math"/>
            <w:spacing w:val="-2"/>
          </w:rPr>
          <m:t>+2</m:t>
        </m:r>
        <m:d>
          <m:dPr>
            <m:ctrlPr>
              <w:rPr>
                <w:rFonts w:ascii="Cambria Math" w:hAnsi="Cambria Math" w:cs="Calibri"/>
                <w:i/>
                <w:iCs/>
                <w:spacing w:val="-2"/>
              </w:rPr>
            </m:ctrlPr>
          </m:dPr>
          <m:e>
            <m:r>
              <w:rPr>
                <w:rFonts w:ascii="Cambria Math" w:hAnsi="Cambria Math"/>
                <w:spacing w:val="-2"/>
              </w:rPr>
              <m:t>p</m:t>
            </m:r>
          </m:e>
        </m:d>
      </m:oMath>
      <w:r>
        <w:rPr>
          <w:spacing w:val="-2"/>
        </w:rPr>
        <w:t xml:space="preserve">, as all the </w:t>
      </w:r>
      <m:oMath>
        <m:r>
          <w:rPr>
            <w:rFonts w:ascii="Cambria Math" w:hAnsi="Cambria Math"/>
            <w:spacing w:val="-2"/>
          </w:rPr>
          <m:t>p</m:t>
        </m:r>
      </m:oMath>
      <w:r>
        <w:rPr>
          <w:spacing w:val="-2"/>
        </w:rPr>
        <w:t xml:space="preserve"> values </w:t>
      </w:r>
      <m:oMath>
        <m:r>
          <w:rPr>
            <w:rFonts w:ascii="Cambria Math" w:hAnsi="Cambria Math"/>
            <w:spacing w:val="-2"/>
          </w:rPr>
          <m:t>=2</m:t>
        </m:r>
      </m:oMath>
      <w:r>
        <w:rPr>
          <w:spacing w:val="-2"/>
        </w:rPr>
        <w:t xml:space="preserve">, it makes the </w:t>
      </w:r>
      <m:oMath>
        <m:r>
          <w:rPr>
            <w:rFonts w:ascii="Cambria Math" w:hAnsi="Cambria Math"/>
            <w:spacing w:val="-2"/>
          </w:rPr>
          <m:t>2</m:t>
        </m:r>
        <m:d>
          <m:dPr>
            <m:ctrlPr>
              <w:rPr>
                <w:rFonts w:ascii="Cambria Math" w:hAnsi="Cambria Math" w:cs="Calibri"/>
                <w:i/>
                <w:iCs/>
                <w:spacing w:val="-2"/>
              </w:rPr>
            </m:ctrlPr>
          </m:dPr>
          <m:e>
            <m:r>
              <w:rPr>
                <w:rFonts w:ascii="Cambria Math" w:hAnsi="Cambria Math"/>
                <w:spacing w:val="-2"/>
              </w:rPr>
              <m:t>p</m:t>
            </m:r>
          </m:e>
        </m:d>
      </m:oMath>
      <w:r>
        <w:rPr>
          <w:spacing w:val="-2"/>
        </w:rPr>
        <w:t xml:space="preserve"> a constant, the expectations with the advantages of using the AIC and BIC over the likelihood will not be meet, for example, AIC =</w:t>
      </w:r>
    </w:p>
    <w:p w14:paraId="6D0B29FD" w14:textId="77777777" w:rsidR="00991EA2" w:rsidRDefault="00991EA2" w:rsidP="00991EA2">
      <w:pPr>
        <w:pStyle w:val="MDPI31text"/>
        <w:ind w:firstLine="0"/>
        <w:rPr>
          <w:spacing w:val="-2"/>
          <w:sz w:val="20"/>
          <w:szCs w:val="20"/>
        </w:rPr>
      </w:pPr>
      <m:oMathPara>
        <m:oMathParaPr>
          <m:jc m:val="center"/>
        </m:oMathParaPr>
        <m:oMath>
          <m:r>
            <w:rPr>
              <w:rFonts w:ascii="Cambria Math" w:hAnsi="Cambria Math"/>
              <w:spacing w:val="-2"/>
            </w:rPr>
            <m:t>-2 × -1.754031+4= 7.508</m:t>
          </m:r>
        </m:oMath>
      </m:oMathPara>
    </w:p>
    <w:p w14:paraId="6056BF27" w14:textId="77777777" w:rsidR="00991EA2" w:rsidRDefault="00991EA2" w:rsidP="00991EA2">
      <w:pPr>
        <w:pStyle w:val="MDPI31text"/>
        <w:ind w:firstLine="0"/>
        <w:rPr>
          <w:spacing w:val="-2"/>
        </w:rPr>
      </w:pPr>
      <m:oMathPara>
        <m:oMathParaPr>
          <m:jc m:val="center"/>
        </m:oMathParaPr>
        <m:oMath>
          <m:r>
            <w:rPr>
              <w:rFonts w:ascii="Cambria Math" w:hAnsi="Cambria Math"/>
              <w:spacing w:val="-2"/>
            </w:rPr>
            <m:t>-2 × -3.736771+4=11.474</m:t>
          </m:r>
        </m:oMath>
      </m:oMathPara>
    </w:p>
    <w:p w14:paraId="7AF018E6" w14:textId="77777777" w:rsidR="00991EA2" w:rsidRDefault="00991EA2" w:rsidP="00991EA2">
      <w:pPr>
        <w:pStyle w:val="MDPI31text"/>
        <w:ind w:firstLine="0"/>
        <w:rPr>
          <w:spacing w:val="-2"/>
        </w:rPr>
      </w:pPr>
      <m:oMathPara>
        <m:oMathParaPr>
          <m:jc m:val="center"/>
        </m:oMathParaPr>
        <m:oMath>
          <m:r>
            <w:rPr>
              <w:rFonts w:ascii="Cambria Math" w:hAnsi="Cambria Math"/>
              <w:spacing w:val="-2"/>
            </w:rPr>
            <m:t>-2 × -3.132208+4=10.264</m:t>
          </m:r>
        </m:oMath>
      </m:oMathPara>
    </w:p>
    <w:p w14:paraId="67F838AC" w14:textId="77777777" w:rsidR="00991EA2" w:rsidRDefault="00991EA2" w:rsidP="00991EA2">
      <w:pPr>
        <w:pStyle w:val="MDPI31text"/>
        <w:spacing w:after="240"/>
        <w:ind w:firstLine="0"/>
        <w:rPr>
          <w:spacing w:val="-2"/>
        </w:rPr>
      </w:pPr>
      <m:oMathPara>
        <m:oMathParaPr>
          <m:jc m:val="center"/>
        </m:oMathParaPr>
        <m:oMath>
          <m:r>
            <w:rPr>
              <w:rFonts w:ascii="Cambria Math" w:hAnsi="Cambria Math"/>
              <w:spacing w:val="-2"/>
            </w:rPr>
            <m:t>-2 × -3.889558+4=11.779</m:t>
          </m:r>
        </m:oMath>
      </m:oMathPara>
    </w:p>
    <w:p w14:paraId="38A307E9" w14:textId="77777777" w:rsidR="00991EA2" w:rsidRDefault="00991EA2" w:rsidP="00991EA2">
      <w:pPr>
        <w:pStyle w:val="MDPI31text"/>
        <w:spacing w:after="240"/>
        <w:ind w:firstLine="0"/>
        <w:rPr>
          <w:spacing w:val="-2"/>
        </w:rPr>
      </w:pPr>
      <w:bookmarkStart w:id="2" w:name="_Hlk54100436"/>
      <w:r>
        <w:rPr>
          <w:spacing w:val="-2"/>
        </w:rPr>
        <w:lastRenderedPageBreak/>
        <w:t xml:space="preserve">The same results would happen with the BIC, therefore, the distribution parameters </w:t>
      </w:r>
      <m:oMath>
        <m:r>
          <w:rPr>
            <w:rFonts w:ascii="Cambria Math" w:hAnsi="Cambria Math"/>
            <w:spacing w:val="-2"/>
          </w:rPr>
          <m:t>p</m:t>
        </m:r>
      </m:oMath>
      <w:r>
        <w:rPr>
          <w:spacing w:val="-2"/>
        </w:rPr>
        <w:t xml:space="preserve"> needs to be checked to determine if using the AIC or BIC is an advantage or expectations are being m</w:t>
      </w:r>
      <w:proofErr w:type="spellStart"/>
      <w:r>
        <w:rPr>
          <w:spacing w:val="-2"/>
        </w:rPr>
        <w:t>eet</w:t>
      </w:r>
      <w:proofErr w:type="spellEnd"/>
      <w:r>
        <w:rPr>
          <w:spacing w:val="-2"/>
        </w:rPr>
        <w:t xml:space="preserve"> in way of using them over the loglikelihood.</w:t>
      </w:r>
      <w:bookmarkEnd w:id="2"/>
    </w:p>
    <w:p w14:paraId="566CFE71" w14:textId="533A9A0B" w:rsidR="00A84520" w:rsidRPr="00991EA2" w:rsidRDefault="00991EA2" w:rsidP="00991EA2">
      <w:pPr>
        <w:pStyle w:val="MDPI31text"/>
        <w:spacing w:after="240"/>
        <w:ind w:firstLine="0"/>
        <w:rPr>
          <w:lang w:val="en-US"/>
        </w:rPr>
      </w:pPr>
      <w:r>
        <w:t xml:space="preserve">Used of the AIC and BIC and other measures based on parameter size, should be undertaken after the parameters of the nested distributions and copulas are identified and only when the values are different, if not, using the loglikelihoods for model fitting may be </w:t>
      </w:r>
      <w:proofErr w:type="gramStart"/>
      <w:r>
        <w:t>sufficient</w:t>
      </w:r>
      <w:proofErr w:type="gramEnd"/>
      <w:r>
        <w:t>.</w:t>
      </w:r>
      <w:bookmarkStart w:id="3" w:name="_GoBack"/>
      <w:bookmarkEnd w:id="3"/>
    </w:p>
    <w:sectPr w:rsidR="00A84520" w:rsidRPr="00991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4E76"/>
    <w:multiLevelType w:val="hybridMultilevel"/>
    <w:tmpl w:val="3E325982"/>
    <w:lvl w:ilvl="0" w:tplc="0C090001">
      <w:start w:val="1"/>
      <w:numFmt w:val="bullet"/>
      <w:lvlText w:val=""/>
      <w:lvlJc w:val="left"/>
      <w:pPr>
        <w:ind w:left="1140" w:hanging="360"/>
      </w:pPr>
      <w:rPr>
        <w:rFonts w:ascii="Symbol" w:hAnsi="Symbol" w:hint="default"/>
      </w:rPr>
    </w:lvl>
    <w:lvl w:ilvl="1" w:tplc="51E8C582">
      <w:start w:val="2"/>
      <w:numFmt w:val="bullet"/>
      <w:lvlText w:val="-"/>
      <w:lvlJc w:val="left"/>
      <w:pPr>
        <w:ind w:left="1860" w:hanging="360"/>
      </w:pPr>
      <w:rPr>
        <w:rFonts w:ascii="Calibri" w:eastAsia="Calibri" w:hAnsi="Calibri" w:cs="Calibri" w:hint="default"/>
      </w:rPr>
    </w:lvl>
    <w:lvl w:ilvl="2" w:tplc="0C090005">
      <w:start w:val="1"/>
      <w:numFmt w:val="bullet"/>
      <w:lvlText w:val=""/>
      <w:lvlJc w:val="left"/>
      <w:pPr>
        <w:ind w:left="2580" w:hanging="360"/>
      </w:pPr>
      <w:rPr>
        <w:rFonts w:ascii="Wingdings" w:hAnsi="Wingdings" w:hint="default"/>
      </w:rPr>
    </w:lvl>
    <w:lvl w:ilvl="3" w:tplc="0C090001">
      <w:start w:val="1"/>
      <w:numFmt w:val="bullet"/>
      <w:lvlText w:val=""/>
      <w:lvlJc w:val="left"/>
      <w:pPr>
        <w:ind w:left="3300" w:hanging="360"/>
      </w:pPr>
      <w:rPr>
        <w:rFonts w:ascii="Symbol" w:hAnsi="Symbol" w:hint="default"/>
      </w:rPr>
    </w:lvl>
    <w:lvl w:ilvl="4" w:tplc="0C090003">
      <w:start w:val="1"/>
      <w:numFmt w:val="bullet"/>
      <w:lvlText w:val="o"/>
      <w:lvlJc w:val="left"/>
      <w:pPr>
        <w:ind w:left="4020" w:hanging="360"/>
      </w:pPr>
      <w:rPr>
        <w:rFonts w:ascii="Courier New" w:hAnsi="Courier New" w:cs="Courier New" w:hint="default"/>
      </w:rPr>
    </w:lvl>
    <w:lvl w:ilvl="5" w:tplc="0C090005">
      <w:start w:val="1"/>
      <w:numFmt w:val="bullet"/>
      <w:lvlText w:val=""/>
      <w:lvlJc w:val="left"/>
      <w:pPr>
        <w:ind w:left="4740" w:hanging="360"/>
      </w:pPr>
      <w:rPr>
        <w:rFonts w:ascii="Wingdings" w:hAnsi="Wingdings" w:hint="default"/>
      </w:rPr>
    </w:lvl>
    <w:lvl w:ilvl="6" w:tplc="0C090001">
      <w:start w:val="1"/>
      <w:numFmt w:val="bullet"/>
      <w:lvlText w:val=""/>
      <w:lvlJc w:val="left"/>
      <w:pPr>
        <w:ind w:left="5460" w:hanging="360"/>
      </w:pPr>
      <w:rPr>
        <w:rFonts w:ascii="Symbol" w:hAnsi="Symbol" w:hint="default"/>
      </w:rPr>
    </w:lvl>
    <w:lvl w:ilvl="7" w:tplc="0C090003">
      <w:start w:val="1"/>
      <w:numFmt w:val="bullet"/>
      <w:lvlText w:val="o"/>
      <w:lvlJc w:val="left"/>
      <w:pPr>
        <w:ind w:left="6180" w:hanging="360"/>
      </w:pPr>
      <w:rPr>
        <w:rFonts w:ascii="Courier New" w:hAnsi="Courier New" w:cs="Courier New" w:hint="default"/>
      </w:rPr>
    </w:lvl>
    <w:lvl w:ilvl="8" w:tplc="0C090005">
      <w:start w:val="1"/>
      <w:numFmt w:val="bullet"/>
      <w:lvlText w:val=""/>
      <w:lvlJc w:val="left"/>
      <w:pPr>
        <w:ind w:left="69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A2"/>
    <w:rsid w:val="000F1D75"/>
    <w:rsid w:val="00991EA2"/>
    <w:rsid w:val="00A845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EEF2"/>
  <w15:chartTrackingRefBased/>
  <w15:docId w15:val="{94E5379A-9374-4C23-B128-61643BD6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A2"/>
    <w:pPr>
      <w:spacing w:after="0" w:line="340" w:lineRule="atLeast"/>
      <w:jc w:val="both"/>
    </w:pPr>
    <w:rPr>
      <w:rFonts w:ascii="Times New Roman" w:hAnsi="Times New Roman" w:cs="Times New Roman"/>
      <w:color w:val="000000"/>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0F1D75"/>
    <w:pPr>
      <w:spacing w:before="240" w:after="60" w:line="240" w:lineRule="auto"/>
    </w:pPr>
    <w:rPr>
      <w:rFonts w:ascii="Arial Narrow" w:hAnsi="Arial Narrow" w:cs="Arial"/>
      <w:bCs/>
      <w:kern w:val="28"/>
      <w:sz w:val="48"/>
      <w:szCs w:val="32"/>
    </w:rPr>
  </w:style>
  <w:style w:type="character" w:customStyle="1" w:styleId="TitleChar">
    <w:name w:val="Title Char"/>
    <w:basedOn w:val="DefaultParagraphFont"/>
    <w:link w:val="Title"/>
    <w:uiPriority w:val="10"/>
    <w:rsid w:val="000F1D75"/>
    <w:rPr>
      <w:rFonts w:ascii="Arial Narrow" w:hAnsi="Arial Narrow" w:cs="Arial"/>
      <w:bCs/>
      <w:kern w:val="28"/>
      <w:sz w:val="48"/>
      <w:szCs w:val="32"/>
    </w:rPr>
  </w:style>
  <w:style w:type="paragraph" w:styleId="NormalWeb">
    <w:name w:val="Normal (Web)"/>
    <w:basedOn w:val="Normal"/>
    <w:uiPriority w:val="99"/>
    <w:semiHidden/>
    <w:unhideWhenUsed/>
    <w:rsid w:val="00991EA2"/>
    <w:pPr>
      <w:spacing w:before="100" w:beforeAutospacing="1" w:after="100" w:afterAutospacing="1" w:line="240" w:lineRule="auto"/>
      <w:jc w:val="left"/>
    </w:pPr>
    <w:rPr>
      <w:rFonts w:ascii="Calibri" w:hAnsi="Calibri" w:cs="Calibri"/>
      <w:color w:val="auto"/>
      <w:sz w:val="22"/>
      <w:szCs w:val="22"/>
      <w:lang w:eastAsia="en-AU"/>
    </w:rPr>
  </w:style>
  <w:style w:type="character" w:customStyle="1" w:styleId="MDPI31textChar">
    <w:name w:val="MDPI_3.1_text Char"/>
    <w:basedOn w:val="DefaultParagraphFont"/>
    <w:link w:val="MDPI31text"/>
    <w:semiHidden/>
    <w:locked/>
    <w:rsid w:val="00991EA2"/>
    <w:rPr>
      <w:rFonts w:ascii="Palatino Linotype" w:hAnsi="Palatino Linotype"/>
      <w:color w:val="000000"/>
      <w:lang w:eastAsia="de-DE"/>
    </w:rPr>
  </w:style>
  <w:style w:type="paragraph" w:customStyle="1" w:styleId="MDPI31text">
    <w:name w:val="MDPI_3.1_text"/>
    <w:basedOn w:val="Normal"/>
    <w:link w:val="MDPI31textChar"/>
    <w:semiHidden/>
    <w:rsid w:val="00991EA2"/>
    <w:pPr>
      <w:snapToGrid w:val="0"/>
      <w:spacing w:line="260" w:lineRule="atLeast"/>
      <w:ind w:firstLine="425"/>
    </w:pPr>
    <w:rPr>
      <w:rFonts w:ascii="Palatino Linotype" w:hAnsi="Palatino Linotype"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04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6FBF95B731144080BF69596FD5EA09" ma:contentTypeVersion="10" ma:contentTypeDescription="Create a new document." ma:contentTypeScope="" ma:versionID="4808eff5573c009d1b90c514d387d358">
  <xsd:schema xmlns:xsd="http://www.w3.org/2001/XMLSchema" xmlns:xs="http://www.w3.org/2001/XMLSchema" xmlns:p="http://schemas.microsoft.com/office/2006/metadata/properties" xmlns:ns2="a43e4d88-1d46-4fab-9132-b32471c600df" targetNamespace="http://schemas.microsoft.com/office/2006/metadata/properties" ma:root="true" ma:fieldsID="03f1b6037367dcb3948e0c248f137217" ns2:_="">
    <xsd:import namespace="a43e4d88-1d46-4fab-9132-b32471c600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e4d88-1d46-4fab-9132-b32471c600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524D4E-43E1-4082-AFE4-48C54F7F1EEC}"/>
</file>

<file path=customXml/itemProps2.xml><?xml version="1.0" encoding="utf-8"?>
<ds:datastoreItem xmlns:ds="http://schemas.openxmlformats.org/officeDocument/2006/customXml" ds:itemID="{04E5DE43-18CF-4F42-81FB-D89C73279D81}"/>
</file>

<file path=customXml/itemProps3.xml><?xml version="1.0" encoding="utf-8"?>
<ds:datastoreItem xmlns:ds="http://schemas.openxmlformats.org/officeDocument/2006/customXml" ds:itemID="{E4E23CDC-DA2D-4520-BFE2-22717479F06B}"/>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Anthony.Davidson</dc:creator>
  <cp:keywords/>
  <dc:description/>
  <cp:lastModifiedBy>Anthony.Davidson</cp:lastModifiedBy>
  <cp:revision>1</cp:revision>
  <dcterms:created xsi:type="dcterms:W3CDTF">2020-10-26T23:30:00Z</dcterms:created>
  <dcterms:modified xsi:type="dcterms:W3CDTF">2020-10-26T23:31:00Z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0x010100DD6FBF95B731144080BF69596FD5EA09</vt:lpwstr>
  </property>
</Properties>
</file>